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DF2" w:rsidRPr="008D3D54" w:rsidRDefault="006F3300" w:rsidP="00053DF2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 xml:space="preserve">limits </w:t>
      </w:r>
      <w:r w:rsidR="00053DF2">
        <w:rPr>
          <w:rFonts w:ascii="Arial" w:hAnsi="Arial"/>
        </w:rPr>
        <w:t xml:space="preserve">for Extra Help </w:t>
      </w:r>
      <w:r>
        <w:rPr>
          <w:rFonts w:ascii="Arial" w:hAnsi="Arial"/>
        </w:rPr>
        <w:t>are</w:t>
      </w:r>
      <w:r w:rsidR="006E71BA">
        <w:rPr>
          <w:rFonts w:ascii="Arial" w:hAnsi="Arial"/>
        </w:rPr>
        <w:t xml:space="preserve"> countable</w:t>
      </w:r>
      <w:r>
        <w:rPr>
          <w:rFonts w:ascii="Arial" w:hAnsi="Arial"/>
        </w:rPr>
        <w:t xml:space="preserve"> income of</w:t>
      </w:r>
      <w:r w:rsidR="00053DF2">
        <w:rPr>
          <w:rFonts w:ascii="Arial" w:hAnsi="Arial"/>
        </w:rPr>
        <w:t xml:space="preserve"> </w:t>
      </w:r>
      <w:r w:rsidR="00053DF2" w:rsidRPr="00F14ADC">
        <w:rPr>
          <w:rFonts w:ascii="Arial" w:hAnsi="Arial"/>
          <w:b/>
        </w:rPr>
        <w:t>$1,</w:t>
      </w:r>
      <w:r w:rsidR="005935A3">
        <w:rPr>
          <w:rFonts w:ascii="Arial" w:hAnsi="Arial"/>
          <w:b/>
        </w:rPr>
        <w:t>5</w:t>
      </w:r>
      <w:r w:rsidR="00645C4E">
        <w:rPr>
          <w:rFonts w:ascii="Arial" w:hAnsi="Arial"/>
          <w:b/>
        </w:rPr>
        <w:t>3</w:t>
      </w:r>
      <w:r w:rsidR="00632655">
        <w:rPr>
          <w:rFonts w:ascii="Arial" w:hAnsi="Arial"/>
          <w:b/>
        </w:rPr>
        <w:t>8</w:t>
      </w:r>
      <w:r w:rsidR="00053DF2">
        <w:rPr>
          <w:rFonts w:ascii="Arial" w:hAnsi="Arial"/>
        </w:rPr>
        <w:t>/</w:t>
      </w:r>
      <w:r w:rsidR="006E71BA">
        <w:rPr>
          <w:rFonts w:ascii="Arial" w:hAnsi="Arial"/>
        </w:rPr>
        <w:t xml:space="preserve"> </w:t>
      </w:r>
      <w:r w:rsidR="00053DF2">
        <w:rPr>
          <w:rFonts w:ascii="Arial" w:hAnsi="Arial"/>
        </w:rPr>
        <w:t>month (</w:t>
      </w:r>
      <w:r w:rsidR="00053DF2" w:rsidRPr="00F14ADC">
        <w:rPr>
          <w:rFonts w:ascii="Arial" w:hAnsi="Arial"/>
          <w:b/>
        </w:rPr>
        <w:t>$</w:t>
      </w:r>
      <w:r w:rsidR="005935A3">
        <w:rPr>
          <w:rFonts w:ascii="Arial" w:hAnsi="Arial"/>
          <w:b/>
        </w:rPr>
        <w:t>2,0</w:t>
      </w:r>
      <w:r w:rsidR="00645C4E">
        <w:rPr>
          <w:rFonts w:ascii="Arial" w:hAnsi="Arial"/>
          <w:b/>
        </w:rPr>
        <w:t>78</w:t>
      </w:r>
      <w:r w:rsidR="00053DF2" w:rsidRPr="00F14ADC">
        <w:rPr>
          <w:rFonts w:ascii="Arial" w:hAnsi="Arial"/>
          <w:b/>
        </w:rPr>
        <w:t xml:space="preserve"> </w:t>
      </w:r>
      <w:r w:rsidR="00053DF2">
        <w:rPr>
          <w:rFonts w:ascii="Arial" w:hAnsi="Arial"/>
        </w:rPr>
        <w:t>for couple</w:t>
      </w:r>
      <w:r>
        <w:rPr>
          <w:rFonts w:ascii="Arial" w:hAnsi="Arial"/>
        </w:rPr>
        <w:t>s</w:t>
      </w:r>
      <w:r w:rsidR="00053DF2">
        <w:rPr>
          <w:rFonts w:ascii="Arial" w:hAnsi="Arial"/>
        </w:rPr>
        <w:t xml:space="preserve">); </w:t>
      </w:r>
      <w:r>
        <w:rPr>
          <w:rFonts w:ascii="Arial" w:hAnsi="Arial"/>
        </w:rPr>
        <w:t xml:space="preserve">and </w:t>
      </w:r>
      <w:r w:rsidR="005935A3">
        <w:rPr>
          <w:rFonts w:ascii="Arial" w:hAnsi="Arial"/>
        </w:rPr>
        <w:t xml:space="preserve">countable </w:t>
      </w:r>
      <w:r>
        <w:rPr>
          <w:rFonts w:ascii="Arial" w:hAnsi="Arial"/>
        </w:rPr>
        <w:t xml:space="preserve">resources in the amount of </w:t>
      </w:r>
      <w:r w:rsidR="00053DF2">
        <w:rPr>
          <w:rFonts w:ascii="Arial" w:hAnsi="Arial"/>
        </w:rPr>
        <w:t>$</w:t>
      </w:r>
      <w:r w:rsidR="00645C4E">
        <w:rPr>
          <w:rFonts w:ascii="Arial" w:hAnsi="Arial"/>
        </w:rPr>
        <w:t>14</w:t>
      </w:r>
      <w:r w:rsidR="00632655">
        <w:rPr>
          <w:rFonts w:ascii="Arial" w:hAnsi="Arial"/>
        </w:rPr>
        <w:t>,</w:t>
      </w:r>
      <w:r w:rsidR="00645C4E">
        <w:rPr>
          <w:rFonts w:ascii="Arial" w:hAnsi="Arial"/>
        </w:rPr>
        <w:t>100</w:t>
      </w:r>
      <w:r w:rsidR="005935A3">
        <w:rPr>
          <w:rFonts w:ascii="Arial" w:hAnsi="Arial"/>
        </w:rPr>
        <w:t xml:space="preserve"> ($2</w:t>
      </w:r>
      <w:r w:rsidR="00645C4E">
        <w:rPr>
          <w:rFonts w:ascii="Arial" w:hAnsi="Arial"/>
        </w:rPr>
        <w:t>8</w:t>
      </w:r>
      <w:r w:rsidR="00053DF2">
        <w:rPr>
          <w:rFonts w:ascii="Arial" w:hAnsi="Arial"/>
        </w:rPr>
        <w:t>,</w:t>
      </w:r>
      <w:r w:rsidR="00645C4E">
        <w:rPr>
          <w:rFonts w:ascii="Arial" w:hAnsi="Arial"/>
        </w:rPr>
        <w:t>150</w:t>
      </w:r>
      <w:r w:rsidR="00053DF2">
        <w:rPr>
          <w:rFonts w:ascii="Arial" w:hAnsi="Arial"/>
        </w:rPr>
        <w:t xml:space="preserve"> for couples).  </w:t>
      </w:r>
      <w:r w:rsidR="005935A3">
        <w:rPr>
          <w:rFonts w:ascii="Arial" w:hAnsi="Arial"/>
        </w:rPr>
        <w:t>B</w:t>
      </w:r>
      <w:r w:rsidR="008D3D54">
        <w:rPr>
          <w:rFonts w:ascii="Arial" w:hAnsi="Arial"/>
        </w:rPr>
        <w:t>ecause the rules for counting income and resources under Extra Help</w:t>
      </w:r>
      <w:r>
        <w:rPr>
          <w:rFonts w:ascii="Arial" w:hAnsi="Arial"/>
        </w:rPr>
        <w:t xml:space="preserve"> are </w:t>
      </w:r>
      <w:r w:rsidR="008D3D54">
        <w:rPr>
          <w:rFonts w:ascii="Arial" w:hAnsi="Arial"/>
        </w:rPr>
        <w:t xml:space="preserve">more generous than those for </w:t>
      </w:r>
      <w:r w:rsidR="000B3DC2" w:rsidRPr="008D3D54">
        <w:rPr>
          <w:rFonts w:ascii="Arial" w:hAnsi="Arial"/>
        </w:rPr>
        <w:t>Medicare Savings Program</w:t>
      </w:r>
      <w:r w:rsidR="008D3D54">
        <w:rPr>
          <w:rFonts w:ascii="Arial" w:hAnsi="Arial"/>
        </w:rPr>
        <w:t xml:space="preserve"> (MSP) eligibility</w:t>
      </w:r>
      <w:r w:rsidR="000B3DC2" w:rsidRPr="008D3D54">
        <w:rPr>
          <w:rFonts w:ascii="Arial" w:hAnsi="Arial"/>
        </w:rPr>
        <w:t>, you may be eligible for th</w:t>
      </w:r>
      <w:r w:rsidR="008D3D54">
        <w:rPr>
          <w:rFonts w:ascii="Arial" w:hAnsi="Arial"/>
        </w:rPr>
        <w:t>e highest level of help e</w:t>
      </w:r>
      <w:r w:rsidR="000B3DC2" w:rsidRPr="008D3D54">
        <w:rPr>
          <w:rFonts w:ascii="Arial" w:hAnsi="Arial"/>
        </w:rPr>
        <w:t>ven if you have been denied M</w:t>
      </w:r>
      <w:r w:rsidR="008D3D54">
        <w:rPr>
          <w:rFonts w:ascii="Arial" w:hAnsi="Arial"/>
        </w:rPr>
        <w:t>SP eligibility</w:t>
      </w:r>
      <w:r w:rsidR="00EC43FB">
        <w:rPr>
          <w:rFonts w:ascii="Arial" w:hAnsi="Arial"/>
        </w:rPr>
        <w:t>.</w:t>
      </w:r>
      <w:r w:rsidR="00053DF2" w:rsidRPr="008D3D54">
        <w:rPr>
          <w:rFonts w:ascii="Arial" w:hAnsi="Arial"/>
        </w:rPr>
        <w:t xml:space="preserve">  </w:t>
      </w:r>
    </w:p>
    <w:p w:rsidR="00053DF2" w:rsidRDefault="00053DF2" w:rsidP="00053DF2">
      <w:pPr>
        <w:widowControl w:val="0"/>
        <w:jc w:val="both"/>
        <w:rPr>
          <w:rFonts w:ascii="Arial" w:hAnsi="Arial"/>
        </w:rPr>
      </w:pPr>
    </w:p>
    <w:p w:rsidR="00A564BA" w:rsidRDefault="00A666A6" w:rsidP="00220059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 xml:space="preserve">If you qualify for Extra Help you are able to switch drug plans on a month-to-month basis (this should be done </w:t>
      </w:r>
      <w:r w:rsidRPr="00EC43FB">
        <w:rPr>
          <w:rFonts w:ascii="Arial" w:hAnsi="Arial"/>
          <w:i/>
        </w:rPr>
        <w:t>only</w:t>
      </w:r>
      <w:r>
        <w:rPr>
          <w:rFonts w:ascii="Arial" w:hAnsi="Arial"/>
        </w:rPr>
        <w:t xml:space="preserve"> to</w:t>
      </w:r>
      <w:r>
        <w:rPr>
          <w:rFonts w:ascii="Arial" w:hAnsi="Arial"/>
          <w:i/>
        </w:rPr>
        <w:t xml:space="preserve"> </w:t>
      </w:r>
      <w:r w:rsidR="00EC43FB">
        <w:rPr>
          <w:rFonts w:ascii="Arial" w:hAnsi="Arial"/>
        </w:rPr>
        <w:t>obtain better coverage of the drugs you need).</w:t>
      </w:r>
      <w:r w:rsidR="00220059">
        <w:rPr>
          <w:rFonts w:ascii="Arial" w:hAnsi="Arial"/>
        </w:rPr>
        <w:t xml:space="preserve">  </w:t>
      </w:r>
    </w:p>
    <w:tbl>
      <w:tblPr>
        <w:tblW w:w="6252" w:type="dxa"/>
        <w:jc w:val="center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6"/>
        <w:gridCol w:w="3126"/>
      </w:tblGrid>
      <w:tr w:rsidR="00220059" w:rsidRPr="00E75B9F" w:rsidTr="006D52C2">
        <w:trPr>
          <w:tblCellSpacing w:w="15" w:type="dxa"/>
          <w:jc w:val="center"/>
        </w:trPr>
        <w:tc>
          <w:tcPr>
            <w:tcW w:w="0" w:type="auto"/>
          </w:tcPr>
          <w:p w:rsidR="00220059" w:rsidRPr="00E75B9F" w:rsidRDefault="00220059" w:rsidP="006D52C2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220059" w:rsidRPr="00E75B9F" w:rsidRDefault="00220059" w:rsidP="006D52C2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84498F" w:rsidRDefault="00220059" w:rsidP="00220059">
      <w:pPr>
        <w:widowControl w:val="0"/>
        <w:jc w:val="both"/>
        <w:rPr>
          <w:rFonts w:ascii="Arial" w:hAnsi="Arial"/>
          <w:b/>
          <w:szCs w:val="24"/>
          <w:u w:val="single"/>
        </w:rPr>
      </w:pPr>
      <w:r w:rsidRPr="006F3300">
        <w:rPr>
          <w:rFonts w:ascii="Arial" w:hAnsi="Arial"/>
          <w:b/>
          <w:szCs w:val="24"/>
          <w:u w:val="single"/>
        </w:rPr>
        <w:t xml:space="preserve">How Do </w:t>
      </w:r>
      <w:r w:rsidR="006F3300">
        <w:rPr>
          <w:rFonts w:ascii="Arial" w:hAnsi="Arial"/>
          <w:b/>
          <w:szCs w:val="24"/>
          <w:u w:val="single"/>
        </w:rPr>
        <w:t>You Apply For These Benefits?</w:t>
      </w:r>
    </w:p>
    <w:p w:rsidR="006F3300" w:rsidRPr="006F3300" w:rsidRDefault="006F3300" w:rsidP="00220059">
      <w:pPr>
        <w:widowControl w:val="0"/>
        <w:jc w:val="both"/>
        <w:rPr>
          <w:rFonts w:ascii="Arial" w:hAnsi="Arial"/>
          <w:b/>
          <w:szCs w:val="24"/>
          <w:u w:val="single"/>
        </w:rPr>
      </w:pPr>
    </w:p>
    <w:p w:rsidR="00220059" w:rsidRDefault="006F3300" w:rsidP="00220059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 xml:space="preserve">Applications </w:t>
      </w:r>
      <w:r w:rsidR="00220059">
        <w:rPr>
          <w:rFonts w:ascii="Arial" w:hAnsi="Arial"/>
        </w:rPr>
        <w:t xml:space="preserve">for a </w:t>
      </w:r>
      <w:r w:rsidR="00220059">
        <w:rPr>
          <w:rFonts w:ascii="Arial" w:hAnsi="Arial"/>
          <w:b/>
        </w:rPr>
        <w:t>Medicare Savings Program</w:t>
      </w:r>
      <w:r w:rsidR="00220059">
        <w:rPr>
          <w:rFonts w:ascii="Arial" w:hAnsi="Arial"/>
        </w:rPr>
        <w:t xml:space="preserve"> </w:t>
      </w:r>
      <w:r w:rsidR="000B3DC2">
        <w:rPr>
          <w:rFonts w:ascii="Arial" w:hAnsi="Arial"/>
        </w:rPr>
        <w:t>are made</w:t>
      </w:r>
      <w:r>
        <w:rPr>
          <w:rFonts w:ascii="Arial" w:hAnsi="Arial"/>
        </w:rPr>
        <w:t xml:space="preserve"> online, by mail, </w:t>
      </w:r>
      <w:r w:rsidR="000B3DC2">
        <w:rPr>
          <w:rFonts w:ascii="Arial" w:hAnsi="Arial"/>
        </w:rPr>
        <w:t xml:space="preserve">or </w:t>
      </w:r>
      <w:r w:rsidR="00220059">
        <w:rPr>
          <w:rFonts w:ascii="Arial" w:hAnsi="Arial"/>
        </w:rPr>
        <w:t>in person</w:t>
      </w:r>
      <w:r w:rsidR="000B3DC2">
        <w:rPr>
          <w:rFonts w:ascii="Arial" w:hAnsi="Arial"/>
        </w:rPr>
        <w:t>,</w:t>
      </w:r>
      <w:r w:rsidR="00220059">
        <w:rPr>
          <w:rFonts w:ascii="Arial" w:hAnsi="Arial"/>
        </w:rPr>
        <w:t xml:space="preserve"> </w:t>
      </w:r>
      <w:r w:rsidR="000B3DC2">
        <w:rPr>
          <w:rFonts w:ascii="Arial" w:hAnsi="Arial"/>
        </w:rPr>
        <w:t>with state Inc</w:t>
      </w:r>
      <w:r w:rsidR="00220059">
        <w:rPr>
          <w:rFonts w:ascii="Arial" w:hAnsi="Arial"/>
        </w:rPr>
        <w:t>ome Support Division Office</w:t>
      </w:r>
      <w:r w:rsidR="000B3DC2">
        <w:rPr>
          <w:rFonts w:ascii="Arial" w:hAnsi="Arial"/>
        </w:rPr>
        <w:t>s</w:t>
      </w:r>
      <w:r w:rsidR="00220059">
        <w:rPr>
          <w:rFonts w:ascii="Arial" w:hAnsi="Arial"/>
        </w:rPr>
        <w:t xml:space="preserve">. </w:t>
      </w:r>
      <w:r w:rsidR="000B3DC2">
        <w:rPr>
          <w:rFonts w:ascii="Arial" w:hAnsi="Arial"/>
        </w:rPr>
        <w:t xml:space="preserve">Applications for </w:t>
      </w:r>
      <w:r w:rsidR="00273ABF">
        <w:rPr>
          <w:rFonts w:ascii="Arial" w:hAnsi="Arial"/>
          <w:b/>
        </w:rPr>
        <w:t>Extra Help</w:t>
      </w:r>
      <w:r w:rsidR="000B3DC2">
        <w:rPr>
          <w:rFonts w:ascii="Arial" w:hAnsi="Arial"/>
          <w:b/>
        </w:rPr>
        <w:t xml:space="preserve"> </w:t>
      </w:r>
      <w:r w:rsidR="000B3DC2">
        <w:rPr>
          <w:rFonts w:ascii="Arial" w:hAnsi="Arial"/>
        </w:rPr>
        <w:t>are made</w:t>
      </w:r>
      <w:r w:rsidR="00220059">
        <w:rPr>
          <w:rFonts w:ascii="Arial" w:hAnsi="Arial"/>
        </w:rPr>
        <w:t xml:space="preserve"> with </w:t>
      </w:r>
      <w:r w:rsidR="00EC43FB">
        <w:rPr>
          <w:rFonts w:ascii="Arial" w:hAnsi="Arial"/>
        </w:rPr>
        <w:t>So</w:t>
      </w:r>
      <w:r w:rsidR="00220059">
        <w:rPr>
          <w:rFonts w:ascii="Arial" w:hAnsi="Arial"/>
        </w:rPr>
        <w:t>cial Security</w:t>
      </w:r>
      <w:r w:rsidR="000B3DC2">
        <w:rPr>
          <w:rFonts w:ascii="Arial" w:hAnsi="Arial"/>
        </w:rPr>
        <w:t>, on</w:t>
      </w:r>
      <w:r w:rsidR="00220059">
        <w:rPr>
          <w:rFonts w:ascii="Arial" w:hAnsi="Arial"/>
        </w:rPr>
        <w:t>line</w:t>
      </w:r>
      <w:r w:rsidR="008D3D54">
        <w:rPr>
          <w:rFonts w:ascii="Arial" w:hAnsi="Arial"/>
        </w:rPr>
        <w:t xml:space="preserve"> (</w:t>
      </w:r>
      <w:hyperlink r:id="rId8" w:history="1">
        <w:r w:rsidR="000B3DC2" w:rsidRPr="0060688F">
          <w:rPr>
            <w:rStyle w:val="Hyperlink"/>
            <w:rFonts w:ascii="Arial" w:hAnsi="Arial"/>
          </w:rPr>
          <w:t>www.socialsecurity.gov</w:t>
        </w:r>
      </w:hyperlink>
      <w:r w:rsidR="008D3D54">
        <w:rPr>
          <w:rFonts w:ascii="Arial" w:hAnsi="Arial"/>
        </w:rPr>
        <w:t>)</w:t>
      </w:r>
      <w:r w:rsidR="00220059">
        <w:rPr>
          <w:rFonts w:ascii="Arial" w:hAnsi="Arial"/>
        </w:rPr>
        <w:t xml:space="preserve">; in person at your local Social Security office; or by phone at </w:t>
      </w:r>
      <w:r w:rsidR="00220059" w:rsidRPr="001A2CC8">
        <w:rPr>
          <w:rFonts w:ascii="Arial" w:hAnsi="Arial"/>
        </w:rPr>
        <w:t>1-800-772-1213</w:t>
      </w:r>
      <w:r w:rsidR="00220059">
        <w:rPr>
          <w:rFonts w:ascii="Arial" w:hAnsi="Arial"/>
        </w:rPr>
        <w:t>. You may also get help</w:t>
      </w:r>
      <w:r w:rsidR="008D3D54">
        <w:rPr>
          <w:rFonts w:ascii="Arial" w:hAnsi="Arial"/>
        </w:rPr>
        <w:t xml:space="preserve"> with applications from agencies including the NM Aging</w:t>
      </w:r>
      <w:r w:rsidR="00220059">
        <w:rPr>
          <w:rFonts w:ascii="Arial" w:hAnsi="Arial"/>
        </w:rPr>
        <w:t xml:space="preserve"> </w:t>
      </w:r>
      <w:r w:rsidR="00EC43FB">
        <w:rPr>
          <w:rFonts w:ascii="Arial" w:hAnsi="Arial"/>
        </w:rPr>
        <w:t>&amp; Disability Resource Center (</w:t>
      </w:r>
      <w:r w:rsidR="00220059">
        <w:rPr>
          <w:rFonts w:ascii="Arial" w:hAnsi="Arial"/>
        </w:rPr>
        <w:t>1-800-432-2080</w:t>
      </w:r>
      <w:r w:rsidR="00EC43FB">
        <w:rPr>
          <w:rFonts w:ascii="Arial" w:hAnsi="Arial"/>
        </w:rPr>
        <w:t>) and the Benefits Connection Center (1-844-266-2236)</w:t>
      </w:r>
      <w:r w:rsidR="00220059">
        <w:rPr>
          <w:rFonts w:ascii="Arial" w:hAnsi="Arial"/>
        </w:rPr>
        <w:t xml:space="preserve">.  </w:t>
      </w:r>
    </w:p>
    <w:p w:rsidR="00220059" w:rsidRDefault="00220059" w:rsidP="00220059">
      <w:pPr>
        <w:widowControl w:val="0"/>
        <w:jc w:val="both"/>
        <w:rPr>
          <w:rFonts w:ascii="Arial" w:hAnsi="Arial"/>
        </w:rPr>
      </w:pPr>
    </w:p>
    <w:p w:rsidR="00CF54EF" w:rsidRPr="008D3D54" w:rsidRDefault="00CF54EF" w:rsidP="00FA5449">
      <w:pPr>
        <w:widowControl w:val="0"/>
        <w:jc w:val="center"/>
        <w:outlineLvl w:val="0"/>
        <w:rPr>
          <w:rFonts w:ascii="Arial" w:hAnsi="Arial" w:cs="Arial"/>
          <w:b/>
          <w:szCs w:val="24"/>
          <w:u w:val="single"/>
        </w:rPr>
      </w:pPr>
      <w:r w:rsidRPr="008D3D54">
        <w:rPr>
          <w:rFonts w:ascii="Arial" w:hAnsi="Arial" w:cs="Arial"/>
          <w:b/>
          <w:szCs w:val="24"/>
          <w:u w:val="single"/>
        </w:rPr>
        <w:t>Questions about Health Benefits?</w:t>
      </w:r>
    </w:p>
    <w:p w:rsidR="00B51955" w:rsidRPr="008D3D54" w:rsidRDefault="00CF54EF" w:rsidP="00B51955">
      <w:pPr>
        <w:widowControl w:val="0"/>
        <w:jc w:val="center"/>
        <w:rPr>
          <w:rFonts w:ascii="Arial" w:hAnsi="Arial" w:cs="Arial"/>
          <w:b/>
          <w:szCs w:val="24"/>
        </w:rPr>
      </w:pPr>
      <w:r w:rsidRPr="008D3D54">
        <w:rPr>
          <w:rFonts w:ascii="Arial" w:hAnsi="Arial" w:cs="Arial"/>
          <w:b/>
          <w:szCs w:val="24"/>
        </w:rPr>
        <w:t xml:space="preserve">Call </w:t>
      </w:r>
      <w:r w:rsidR="00B51955" w:rsidRPr="008D3D54">
        <w:rPr>
          <w:rFonts w:ascii="Arial" w:hAnsi="Arial" w:cs="Arial"/>
          <w:b/>
          <w:szCs w:val="24"/>
        </w:rPr>
        <w:t>SCLO at (505) 265-2300</w:t>
      </w:r>
      <w:r w:rsidR="002944BA" w:rsidRPr="008D3D54">
        <w:rPr>
          <w:rFonts w:ascii="Arial" w:hAnsi="Arial" w:cs="Arial"/>
          <w:b/>
          <w:szCs w:val="24"/>
        </w:rPr>
        <w:t xml:space="preserve"> or</w:t>
      </w:r>
    </w:p>
    <w:p w:rsidR="002944BA" w:rsidRPr="008D3D54" w:rsidRDefault="002944BA" w:rsidP="002944BA">
      <w:pPr>
        <w:widowControl w:val="0"/>
        <w:jc w:val="center"/>
        <w:rPr>
          <w:rFonts w:ascii="Arial" w:hAnsi="Arial" w:cs="Arial"/>
          <w:b/>
          <w:szCs w:val="24"/>
        </w:rPr>
      </w:pPr>
      <w:r w:rsidRPr="008D3D54">
        <w:rPr>
          <w:rFonts w:ascii="Arial" w:hAnsi="Arial" w:cs="Arial"/>
          <w:b/>
          <w:szCs w:val="24"/>
        </w:rPr>
        <w:t xml:space="preserve">The Aging </w:t>
      </w:r>
      <w:r w:rsidR="00EC43FB">
        <w:rPr>
          <w:rFonts w:ascii="Arial" w:hAnsi="Arial" w:cs="Arial"/>
          <w:b/>
          <w:szCs w:val="24"/>
        </w:rPr>
        <w:t>&amp;</w:t>
      </w:r>
      <w:r w:rsidRPr="008D3D54">
        <w:rPr>
          <w:rFonts w:ascii="Arial" w:hAnsi="Arial" w:cs="Arial"/>
          <w:b/>
          <w:szCs w:val="24"/>
        </w:rPr>
        <w:t xml:space="preserve"> Disability Resource Center </w:t>
      </w:r>
    </w:p>
    <w:p w:rsidR="00220059" w:rsidRDefault="00220059" w:rsidP="002439E0">
      <w:pPr>
        <w:widowControl w:val="0"/>
        <w:jc w:val="center"/>
        <w:rPr>
          <w:rFonts w:ascii="Arial" w:hAnsi="Arial" w:cs="Arial"/>
          <w:szCs w:val="24"/>
        </w:rPr>
      </w:pPr>
    </w:p>
    <w:p w:rsidR="00C75B61" w:rsidRDefault="001F3746" w:rsidP="00C75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  <w:sz w:val="20"/>
        </w:rPr>
        <w:t xml:space="preserve">Senior Citizens’ Law Office, Inc. is funded by the City of Albuquerque Area Agency on Aging,  </w:t>
      </w:r>
      <w:r w:rsidR="00304CE3">
        <w:rPr>
          <w:rFonts w:asciiTheme="majorHAnsi" w:hAnsiTheme="majorHAnsi" w:cs="Arial"/>
          <w:b/>
          <w:sz w:val="20"/>
        </w:rPr>
        <w:t xml:space="preserve">and </w:t>
      </w:r>
      <w:r>
        <w:rPr>
          <w:rFonts w:asciiTheme="majorHAnsi" w:hAnsiTheme="majorHAnsi" w:cs="Arial"/>
          <w:b/>
          <w:sz w:val="20"/>
        </w:rPr>
        <w:t xml:space="preserve">New Mexico Civil Legal Services and </w:t>
      </w:r>
      <w:r w:rsidR="00304CE3">
        <w:rPr>
          <w:rFonts w:asciiTheme="majorHAnsi" w:hAnsiTheme="majorHAnsi" w:cs="Arial"/>
          <w:b/>
          <w:sz w:val="20"/>
        </w:rPr>
        <w:t>Access to Justice Commissions.</w:t>
      </w:r>
    </w:p>
    <w:p w:rsidR="00304CE3" w:rsidRDefault="00304CE3" w:rsidP="00C75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rial"/>
          <w:b/>
          <w:sz w:val="20"/>
        </w:rPr>
      </w:pPr>
    </w:p>
    <w:p w:rsidR="001F3746" w:rsidRDefault="00802FC0" w:rsidP="00C75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rial"/>
          <w:b/>
          <w:sz w:val="20"/>
          <w:u w:val="single"/>
        </w:rPr>
      </w:pPr>
      <w:r>
        <w:rPr>
          <w:rFonts w:asciiTheme="majorHAnsi" w:hAnsiTheme="majorHAnsi" w:cs="Arial"/>
          <w:b/>
          <w:sz w:val="20"/>
        </w:rPr>
        <w:t>(</w:t>
      </w:r>
      <w:r w:rsidR="00632655">
        <w:rPr>
          <w:rFonts w:asciiTheme="majorHAnsi" w:hAnsiTheme="majorHAnsi" w:cs="Arial"/>
          <w:b/>
          <w:sz w:val="20"/>
        </w:rPr>
        <w:t>Updated effective</w:t>
      </w:r>
      <w:r w:rsidR="00303D14">
        <w:rPr>
          <w:rFonts w:asciiTheme="majorHAnsi" w:hAnsiTheme="majorHAnsi" w:cs="Arial"/>
          <w:b/>
          <w:sz w:val="20"/>
        </w:rPr>
        <w:t xml:space="preserve"> 4/</w:t>
      </w:r>
      <w:r w:rsidR="00632655">
        <w:rPr>
          <w:rFonts w:asciiTheme="majorHAnsi" w:hAnsiTheme="majorHAnsi" w:cs="Arial"/>
          <w:b/>
          <w:sz w:val="20"/>
        </w:rPr>
        <w:t>1/</w:t>
      </w:r>
      <w:r w:rsidR="00303D14">
        <w:rPr>
          <w:rFonts w:asciiTheme="majorHAnsi" w:hAnsiTheme="majorHAnsi" w:cs="Arial"/>
          <w:b/>
          <w:sz w:val="20"/>
        </w:rPr>
        <w:t>1</w:t>
      </w:r>
      <w:r w:rsidR="00104CFE">
        <w:rPr>
          <w:rFonts w:asciiTheme="majorHAnsi" w:hAnsiTheme="majorHAnsi" w:cs="Arial"/>
          <w:b/>
          <w:sz w:val="20"/>
        </w:rPr>
        <w:t>8</w:t>
      </w:r>
      <w:r>
        <w:rPr>
          <w:rFonts w:asciiTheme="majorHAnsi" w:hAnsiTheme="majorHAnsi" w:cs="Arial"/>
          <w:b/>
          <w:sz w:val="20"/>
        </w:rPr>
        <w:t>)</w:t>
      </w:r>
    </w:p>
    <w:p w:rsidR="00220059" w:rsidRPr="000C33E4" w:rsidRDefault="00220059" w:rsidP="0022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sz w:val="20"/>
        </w:rPr>
      </w:pPr>
      <w:r w:rsidRPr="000C33E4">
        <w:rPr>
          <w:rFonts w:asciiTheme="majorHAnsi" w:hAnsiTheme="majorHAnsi" w:cs="Arial"/>
          <w:b/>
          <w:sz w:val="20"/>
          <w:u w:val="single"/>
        </w:rPr>
        <w:t>This information is not intended as a substitute for specific legal advice</w:t>
      </w:r>
      <w:r>
        <w:rPr>
          <w:rFonts w:asciiTheme="majorHAnsi" w:hAnsiTheme="majorHAnsi" w:cs="Arial"/>
          <w:b/>
          <w:sz w:val="20"/>
        </w:rPr>
        <w:t>.</w:t>
      </w:r>
    </w:p>
    <w:p w:rsidR="00D20936" w:rsidRDefault="002439E0" w:rsidP="002439E0">
      <w:pPr>
        <w:widowControl w:val="0"/>
        <w:jc w:val="center"/>
      </w:pPr>
      <w:r>
        <w:rPr>
          <w:rFonts w:ascii="Arial" w:hAnsi="Arial" w:cs="Arial"/>
          <w:szCs w:val="24"/>
        </w:rPr>
        <w:br w:type="column"/>
      </w:r>
      <w:r w:rsidR="002E2056">
        <w:rPr>
          <w:noProof/>
        </w:rPr>
        <w:drawing>
          <wp:inline distT="0" distB="0" distL="0" distR="0">
            <wp:extent cx="1819275" cy="1038225"/>
            <wp:effectExtent l="19050" t="0" r="9525" b="0"/>
            <wp:docPr id="1" name="Picture 1" descr="SCL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LO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936" w:rsidRDefault="00D20936" w:rsidP="002439E0">
      <w:pPr>
        <w:widowControl w:val="0"/>
        <w:jc w:val="center"/>
        <w:rPr>
          <w:rFonts w:ascii="Arial" w:hAnsi="Arial" w:cs="Arial"/>
          <w:szCs w:val="24"/>
        </w:rPr>
      </w:pPr>
    </w:p>
    <w:p w:rsidR="002439E0" w:rsidRPr="00AD49BB" w:rsidRDefault="002439E0" w:rsidP="00FA5449">
      <w:pPr>
        <w:widowControl w:val="0"/>
        <w:jc w:val="center"/>
        <w:outlineLvl w:val="0"/>
        <w:rPr>
          <w:rFonts w:ascii="Arial" w:hAnsi="Arial"/>
          <w:b/>
          <w:smallCaps/>
          <w:sz w:val="56"/>
          <w:szCs w:val="56"/>
        </w:rPr>
      </w:pPr>
      <w:r w:rsidRPr="00AD49BB">
        <w:rPr>
          <w:rFonts w:ascii="PosterBodoni BT" w:hAnsi="PosterBodoni BT"/>
          <w:b/>
          <w:noProof/>
          <w:sz w:val="56"/>
          <w:szCs w:val="56"/>
        </w:rPr>
        <w:t>Got Medicare?</w:t>
      </w:r>
    </w:p>
    <w:p w:rsidR="002439E0" w:rsidRPr="00AD49BB" w:rsidRDefault="00672690" w:rsidP="002439E0">
      <w:pPr>
        <w:widowControl w:val="0"/>
        <w:tabs>
          <w:tab w:val="center" w:pos="3060"/>
        </w:tabs>
        <w:spacing w:after="120"/>
        <w:jc w:val="center"/>
        <w:rPr>
          <w:rFonts w:ascii="PosterBodoni BT" w:hAnsi="PosterBodoni BT"/>
          <w:b/>
          <w:noProof/>
          <w:sz w:val="56"/>
          <w:szCs w:val="56"/>
        </w:rPr>
      </w:pPr>
      <w:r>
        <w:rPr>
          <w:rFonts w:ascii="PosterBodoni BT" w:hAnsi="PosterBodoni BT"/>
          <w:b/>
          <w:noProof/>
          <w:sz w:val="56"/>
          <w:szCs w:val="56"/>
        </w:rPr>
        <w:t>Get Help W</w:t>
      </w:r>
      <w:bookmarkStart w:id="0" w:name="_GoBack"/>
      <w:bookmarkEnd w:id="0"/>
      <w:r w:rsidR="002439E0" w:rsidRPr="00AD49BB">
        <w:rPr>
          <w:rFonts w:ascii="PosterBodoni BT" w:hAnsi="PosterBodoni BT"/>
          <w:b/>
          <w:noProof/>
          <w:sz w:val="56"/>
          <w:szCs w:val="56"/>
        </w:rPr>
        <w:t xml:space="preserve">ith </w:t>
      </w:r>
      <w:r w:rsidR="00AC556D" w:rsidRPr="00AD49BB">
        <w:rPr>
          <w:rFonts w:ascii="PosterBodoni BT" w:hAnsi="PosterBodoni BT"/>
          <w:b/>
          <w:noProof/>
          <w:sz w:val="56"/>
          <w:szCs w:val="56"/>
        </w:rPr>
        <w:t>Costs</w:t>
      </w:r>
    </w:p>
    <w:p w:rsidR="002439E0" w:rsidRPr="005B417F" w:rsidRDefault="00C456C8" w:rsidP="002439E0">
      <w:pPr>
        <w:jc w:val="center"/>
        <w:rPr>
          <w:color w:val="000000"/>
          <w:szCs w:val="24"/>
        </w:rPr>
      </w:pPr>
      <w:r>
        <w:rPr>
          <w:rFonts w:ascii="Verdana" w:hAnsi="Verdana"/>
          <w:sz w:val="17"/>
          <w:szCs w:val="17"/>
        </w:rPr>
        <w:fldChar w:fldCharType="begin"/>
      </w:r>
      <w:r w:rsidR="002439E0">
        <w:rPr>
          <w:rFonts w:ascii="Verdana" w:hAnsi="Verdana"/>
          <w:sz w:val="17"/>
          <w:szCs w:val="17"/>
        </w:rPr>
        <w:instrText xml:space="preserve"> HYPERLINK "http://www.piperreport.com/archives/Images/Cost%20of%20Drugs%20on%20Fifty%20Dollar%20Bill.jpg" </w:instrText>
      </w:r>
      <w:r>
        <w:rPr>
          <w:rFonts w:ascii="Verdana" w:hAnsi="Verdana"/>
          <w:sz w:val="17"/>
          <w:szCs w:val="17"/>
        </w:rPr>
        <w:fldChar w:fldCharType="separate"/>
      </w:r>
      <w:r w:rsidR="002439E0" w:rsidRPr="005B417F">
        <w:rPr>
          <w:rFonts w:ascii="Verdana" w:hAnsi="Verdana"/>
          <w:sz w:val="17"/>
          <w:szCs w:val="17"/>
        </w:rPr>
        <w:t xml:space="preserve"> </w:t>
      </w:r>
      <w:r w:rsidR="002E2056">
        <w:rPr>
          <w:noProof/>
          <w:color w:val="000000"/>
          <w:szCs w:val="24"/>
        </w:rPr>
        <w:drawing>
          <wp:inline distT="0" distB="0" distL="0" distR="0">
            <wp:extent cx="2343150" cy="1343025"/>
            <wp:effectExtent l="19050" t="0" r="0" b="0"/>
            <wp:docPr id="2" name="Picture 2" descr="Prescription Sav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cription Saving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9E0" w:rsidRDefault="00C456C8" w:rsidP="002439E0">
      <w:pPr>
        <w:widowControl w:val="0"/>
        <w:spacing w:after="60"/>
        <w:jc w:val="center"/>
        <w:rPr>
          <w:rFonts w:ascii="Arial" w:hAnsi="Arial"/>
        </w:rPr>
      </w:pPr>
      <w:r>
        <w:rPr>
          <w:rFonts w:ascii="Verdana" w:hAnsi="Verdana"/>
          <w:sz w:val="17"/>
          <w:szCs w:val="17"/>
        </w:rPr>
        <w:fldChar w:fldCharType="end"/>
      </w:r>
    </w:p>
    <w:p w:rsidR="00AC556D" w:rsidRPr="00116572" w:rsidRDefault="002439E0" w:rsidP="00EC54A3">
      <w:pPr>
        <w:widowControl w:val="0"/>
        <w:spacing w:after="60"/>
        <w:ind w:firstLine="720"/>
        <w:rPr>
          <w:rFonts w:ascii="Arial" w:hAnsi="Arial" w:cs="Arial"/>
          <w:szCs w:val="24"/>
        </w:rPr>
      </w:pPr>
      <w:r w:rsidRPr="00116572">
        <w:rPr>
          <w:rFonts w:ascii="Arial" w:hAnsi="Arial" w:cs="Arial"/>
          <w:szCs w:val="24"/>
        </w:rPr>
        <w:t xml:space="preserve">If </w:t>
      </w:r>
      <w:r w:rsidR="009B41AB" w:rsidRPr="00116572">
        <w:rPr>
          <w:rFonts w:ascii="Arial" w:hAnsi="Arial" w:cs="Arial"/>
          <w:szCs w:val="24"/>
        </w:rPr>
        <w:t xml:space="preserve">you are single and </w:t>
      </w:r>
      <w:r w:rsidRPr="00116572">
        <w:rPr>
          <w:rFonts w:ascii="Arial" w:hAnsi="Arial" w:cs="Arial"/>
          <w:szCs w:val="24"/>
        </w:rPr>
        <w:t>your income is less than $</w:t>
      </w:r>
      <w:r w:rsidRPr="00116572">
        <w:rPr>
          <w:rFonts w:ascii="Arial" w:hAnsi="Arial" w:cs="Arial"/>
          <w:b/>
          <w:szCs w:val="24"/>
        </w:rPr>
        <w:t>1,</w:t>
      </w:r>
      <w:r w:rsidR="00A178C3">
        <w:rPr>
          <w:rFonts w:ascii="Arial" w:hAnsi="Arial" w:cs="Arial"/>
          <w:b/>
          <w:szCs w:val="24"/>
        </w:rPr>
        <w:t>5</w:t>
      </w:r>
      <w:r w:rsidR="00104CFE">
        <w:rPr>
          <w:rFonts w:ascii="Arial" w:hAnsi="Arial" w:cs="Arial"/>
          <w:b/>
          <w:szCs w:val="24"/>
        </w:rPr>
        <w:t>3</w:t>
      </w:r>
      <w:r w:rsidR="00632655">
        <w:rPr>
          <w:rFonts w:ascii="Arial" w:hAnsi="Arial" w:cs="Arial"/>
          <w:b/>
          <w:szCs w:val="24"/>
        </w:rPr>
        <w:t>8</w:t>
      </w:r>
      <w:r w:rsidRPr="00116572">
        <w:rPr>
          <w:rFonts w:ascii="Arial" w:hAnsi="Arial" w:cs="Arial"/>
          <w:szCs w:val="24"/>
        </w:rPr>
        <w:t xml:space="preserve"> </w:t>
      </w:r>
      <w:r w:rsidR="00104CFE">
        <w:rPr>
          <w:rFonts w:ascii="Arial" w:hAnsi="Arial" w:cs="Arial"/>
          <w:szCs w:val="24"/>
        </w:rPr>
        <w:t>per</w:t>
      </w:r>
      <w:r w:rsidRPr="00116572">
        <w:rPr>
          <w:rFonts w:ascii="Arial" w:hAnsi="Arial" w:cs="Arial"/>
          <w:szCs w:val="24"/>
        </w:rPr>
        <w:t xml:space="preserve"> month</w:t>
      </w:r>
      <w:r w:rsidR="00FA5449">
        <w:rPr>
          <w:rFonts w:ascii="Arial" w:hAnsi="Arial" w:cs="Arial"/>
          <w:szCs w:val="24"/>
        </w:rPr>
        <w:t>, or married and</w:t>
      </w:r>
      <w:r w:rsidR="00200286">
        <w:rPr>
          <w:rFonts w:ascii="Arial" w:hAnsi="Arial" w:cs="Arial"/>
          <w:szCs w:val="24"/>
        </w:rPr>
        <w:t xml:space="preserve"> your income is less than </w:t>
      </w:r>
      <w:r w:rsidR="00200286" w:rsidRPr="00200286">
        <w:rPr>
          <w:rFonts w:ascii="Arial" w:hAnsi="Arial" w:cs="Arial"/>
          <w:b/>
          <w:szCs w:val="24"/>
        </w:rPr>
        <w:t>$</w:t>
      </w:r>
      <w:r w:rsidR="00A178C3">
        <w:rPr>
          <w:rFonts w:ascii="Arial" w:hAnsi="Arial" w:cs="Arial"/>
          <w:b/>
          <w:szCs w:val="24"/>
        </w:rPr>
        <w:t>2,</w:t>
      </w:r>
      <w:r w:rsidR="00632655">
        <w:rPr>
          <w:rFonts w:ascii="Arial" w:hAnsi="Arial" w:cs="Arial"/>
          <w:b/>
          <w:szCs w:val="24"/>
        </w:rPr>
        <w:t>0</w:t>
      </w:r>
      <w:r w:rsidR="00104CFE">
        <w:rPr>
          <w:rFonts w:ascii="Arial" w:hAnsi="Arial" w:cs="Arial"/>
          <w:b/>
          <w:szCs w:val="24"/>
        </w:rPr>
        <w:t>78</w:t>
      </w:r>
      <w:r w:rsidR="00FA5449">
        <w:rPr>
          <w:rFonts w:ascii="Arial" w:hAnsi="Arial" w:cs="Arial"/>
          <w:szCs w:val="24"/>
        </w:rPr>
        <w:t xml:space="preserve"> per month</w:t>
      </w:r>
      <w:r w:rsidRPr="00116572">
        <w:rPr>
          <w:rFonts w:ascii="Arial" w:hAnsi="Arial" w:cs="Arial"/>
          <w:szCs w:val="24"/>
        </w:rPr>
        <w:t xml:space="preserve">, you might qualify for financial help </w:t>
      </w:r>
      <w:r w:rsidR="001F3746">
        <w:rPr>
          <w:rFonts w:ascii="Arial" w:hAnsi="Arial" w:cs="Arial"/>
          <w:szCs w:val="24"/>
        </w:rPr>
        <w:t>covering many of</w:t>
      </w:r>
      <w:r w:rsidRPr="00116572">
        <w:rPr>
          <w:rFonts w:ascii="Arial" w:hAnsi="Arial" w:cs="Arial"/>
          <w:szCs w:val="24"/>
        </w:rPr>
        <w:t xml:space="preserve"> your Medicare</w:t>
      </w:r>
      <w:r w:rsidR="00FA5449">
        <w:rPr>
          <w:rFonts w:ascii="Arial" w:hAnsi="Arial" w:cs="Arial"/>
          <w:szCs w:val="24"/>
        </w:rPr>
        <w:t xml:space="preserve"> </w:t>
      </w:r>
      <w:r w:rsidR="00116572" w:rsidRPr="00116572">
        <w:rPr>
          <w:rFonts w:ascii="Arial" w:hAnsi="Arial" w:cs="Arial"/>
          <w:szCs w:val="24"/>
        </w:rPr>
        <w:t>out</w:t>
      </w:r>
      <w:r w:rsidR="00116572">
        <w:rPr>
          <w:rFonts w:ascii="Arial" w:hAnsi="Arial" w:cs="Arial"/>
          <w:szCs w:val="24"/>
        </w:rPr>
        <w:t>-</w:t>
      </w:r>
      <w:r w:rsidR="00116572" w:rsidRPr="00116572">
        <w:rPr>
          <w:rFonts w:ascii="Arial" w:hAnsi="Arial" w:cs="Arial"/>
          <w:szCs w:val="24"/>
        </w:rPr>
        <w:t>of</w:t>
      </w:r>
      <w:r w:rsidR="00116572">
        <w:rPr>
          <w:rFonts w:ascii="Arial" w:hAnsi="Arial" w:cs="Arial"/>
          <w:szCs w:val="24"/>
        </w:rPr>
        <w:t>-</w:t>
      </w:r>
      <w:r w:rsidR="00116572" w:rsidRPr="00116572">
        <w:rPr>
          <w:rFonts w:ascii="Arial" w:hAnsi="Arial" w:cs="Arial"/>
          <w:szCs w:val="24"/>
        </w:rPr>
        <w:t xml:space="preserve"> pocket costs.  </w:t>
      </w:r>
      <w:r w:rsidR="009B41AB" w:rsidRPr="00116572">
        <w:rPr>
          <w:rFonts w:ascii="Arial" w:hAnsi="Arial" w:cs="Arial"/>
          <w:szCs w:val="24"/>
        </w:rPr>
        <w:tab/>
      </w:r>
    </w:p>
    <w:p w:rsidR="00116572" w:rsidRPr="00116572" w:rsidRDefault="00116572" w:rsidP="002439E0">
      <w:pPr>
        <w:widowControl w:val="0"/>
        <w:spacing w:after="60"/>
        <w:rPr>
          <w:rFonts w:ascii="Arial" w:hAnsi="Arial" w:cs="Arial"/>
          <w:szCs w:val="24"/>
        </w:rPr>
      </w:pPr>
    </w:p>
    <w:p w:rsidR="00116572" w:rsidRPr="00116572" w:rsidRDefault="00116572" w:rsidP="00FA5449">
      <w:pPr>
        <w:tabs>
          <w:tab w:val="left" w:pos="1440"/>
        </w:tabs>
        <w:ind w:left="1440" w:hanging="720"/>
        <w:jc w:val="center"/>
        <w:outlineLvl w:val="0"/>
        <w:rPr>
          <w:rFonts w:ascii="Arial" w:hAnsi="Arial" w:cs="Arial"/>
          <w:b/>
          <w:szCs w:val="24"/>
        </w:rPr>
      </w:pPr>
      <w:r w:rsidRPr="00116572">
        <w:rPr>
          <w:rFonts w:ascii="Arial" w:hAnsi="Arial" w:cs="Arial"/>
          <w:b/>
          <w:szCs w:val="24"/>
        </w:rPr>
        <w:t>OUT-OF-POCKET COSTS FOR MEDICARE</w:t>
      </w:r>
    </w:p>
    <w:p w:rsidR="00116572" w:rsidRPr="00116572" w:rsidRDefault="00116572" w:rsidP="00116572">
      <w:pPr>
        <w:tabs>
          <w:tab w:val="left" w:pos="1440"/>
        </w:tabs>
        <w:ind w:left="1440" w:hanging="720"/>
        <w:jc w:val="center"/>
        <w:rPr>
          <w:rFonts w:ascii="Arial" w:hAnsi="Arial" w:cs="Arial"/>
          <w:b/>
          <w:szCs w:val="24"/>
        </w:rPr>
      </w:pPr>
      <w:r w:rsidRPr="00116572">
        <w:rPr>
          <w:rFonts w:ascii="Arial" w:hAnsi="Arial" w:cs="Arial"/>
          <w:b/>
          <w:szCs w:val="24"/>
        </w:rPr>
        <w:t>BENEFICIARIES</w:t>
      </w:r>
    </w:p>
    <w:p w:rsidR="00116572" w:rsidRPr="00116572" w:rsidRDefault="00116572" w:rsidP="00116572">
      <w:pPr>
        <w:ind w:left="720"/>
        <w:rPr>
          <w:rFonts w:ascii="Arial" w:hAnsi="Arial" w:cs="Arial"/>
          <w:b/>
          <w:szCs w:val="24"/>
        </w:rPr>
      </w:pPr>
    </w:p>
    <w:p w:rsidR="00116572" w:rsidRPr="00116572" w:rsidRDefault="00116572" w:rsidP="00644A15">
      <w:pPr>
        <w:jc w:val="both"/>
        <w:rPr>
          <w:rFonts w:ascii="Arial" w:hAnsi="Arial" w:cs="Arial"/>
          <w:szCs w:val="24"/>
        </w:rPr>
      </w:pPr>
      <w:r w:rsidRPr="00116572">
        <w:rPr>
          <w:rFonts w:ascii="Arial" w:hAnsi="Arial" w:cs="Arial"/>
          <w:szCs w:val="24"/>
        </w:rPr>
        <w:t xml:space="preserve">Medicare is an important source of health care coverage, but beneficiaries are </w:t>
      </w:r>
      <w:r w:rsidR="001E5484">
        <w:rPr>
          <w:rFonts w:ascii="Arial" w:hAnsi="Arial" w:cs="Arial"/>
          <w:szCs w:val="24"/>
        </w:rPr>
        <w:t>charged</w:t>
      </w:r>
      <w:r w:rsidRPr="00116572">
        <w:rPr>
          <w:rFonts w:ascii="Arial" w:hAnsi="Arial" w:cs="Arial"/>
          <w:szCs w:val="24"/>
        </w:rPr>
        <w:t xml:space="preserve"> for part of the costs of care.   Beneficiaries must pay monthly </w:t>
      </w:r>
      <w:r w:rsidRPr="00116572">
        <w:rPr>
          <w:rFonts w:ascii="Arial" w:hAnsi="Arial" w:cs="Arial"/>
          <w:i/>
          <w:szCs w:val="24"/>
        </w:rPr>
        <w:t xml:space="preserve">premiums; </w:t>
      </w:r>
      <w:r w:rsidRPr="00116572">
        <w:rPr>
          <w:rFonts w:ascii="Arial" w:hAnsi="Arial" w:cs="Arial"/>
          <w:szCs w:val="24"/>
        </w:rPr>
        <w:t xml:space="preserve">and when they obtain services they usually </w:t>
      </w:r>
      <w:r w:rsidR="001E5484">
        <w:rPr>
          <w:rFonts w:ascii="Arial" w:hAnsi="Arial" w:cs="Arial"/>
          <w:szCs w:val="24"/>
        </w:rPr>
        <w:t>have</w:t>
      </w:r>
      <w:r w:rsidRPr="00116572">
        <w:rPr>
          <w:rFonts w:ascii="Arial" w:hAnsi="Arial" w:cs="Arial"/>
          <w:szCs w:val="24"/>
        </w:rPr>
        <w:t xml:space="preserve"> “deductible” and</w:t>
      </w:r>
      <w:r w:rsidRPr="004324C8">
        <w:rPr>
          <w:szCs w:val="24"/>
        </w:rPr>
        <w:t xml:space="preserve"> </w:t>
      </w:r>
      <w:r w:rsidRPr="00116572">
        <w:rPr>
          <w:rFonts w:ascii="Arial" w:hAnsi="Arial" w:cs="Arial"/>
          <w:szCs w:val="24"/>
        </w:rPr>
        <w:t>“co-insurance”</w:t>
      </w:r>
      <w:r w:rsidRPr="004324C8">
        <w:rPr>
          <w:szCs w:val="24"/>
        </w:rPr>
        <w:t xml:space="preserve"> </w:t>
      </w:r>
      <w:r w:rsidR="001E5484">
        <w:rPr>
          <w:szCs w:val="24"/>
        </w:rPr>
        <w:t>(</w:t>
      </w:r>
      <w:r w:rsidR="001E5484">
        <w:rPr>
          <w:rFonts w:ascii="Arial" w:hAnsi="Arial" w:cs="Arial"/>
          <w:szCs w:val="24"/>
        </w:rPr>
        <w:t xml:space="preserve">including “co-pays”) </w:t>
      </w:r>
      <w:r w:rsidRPr="00116572">
        <w:rPr>
          <w:rFonts w:ascii="Arial" w:hAnsi="Arial" w:cs="Arial"/>
          <w:szCs w:val="24"/>
        </w:rPr>
        <w:t xml:space="preserve">charges.  The amount of this “cost-sharing” can be </w:t>
      </w:r>
      <w:r w:rsidR="001E5484">
        <w:rPr>
          <w:rFonts w:ascii="Arial" w:hAnsi="Arial" w:cs="Arial"/>
          <w:szCs w:val="24"/>
        </w:rPr>
        <w:t>very high</w:t>
      </w:r>
      <w:r w:rsidRPr="00116572">
        <w:rPr>
          <w:rFonts w:ascii="Arial" w:hAnsi="Arial" w:cs="Arial"/>
          <w:szCs w:val="24"/>
        </w:rPr>
        <w:t>.</w:t>
      </w:r>
      <w:r w:rsidR="00644A15">
        <w:rPr>
          <w:rFonts w:ascii="Arial" w:hAnsi="Arial" w:cs="Arial"/>
          <w:szCs w:val="24"/>
        </w:rPr>
        <w:t xml:space="preserve">  </w:t>
      </w:r>
    </w:p>
    <w:p w:rsidR="00116572" w:rsidRPr="00220059" w:rsidRDefault="00116572" w:rsidP="00FA5449">
      <w:pPr>
        <w:widowControl w:val="0"/>
        <w:jc w:val="both"/>
        <w:outlineLvl w:val="0"/>
        <w:rPr>
          <w:rFonts w:ascii="Arial" w:hAnsi="Arial" w:cs="Arial"/>
          <w:b/>
          <w:szCs w:val="24"/>
          <w:u w:val="single"/>
        </w:rPr>
      </w:pPr>
      <w:r w:rsidRPr="00220059">
        <w:rPr>
          <w:rFonts w:ascii="Arial" w:hAnsi="Arial" w:cs="Arial"/>
          <w:b/>
          <w:szCs w:val="24"/>
          <w:u w:val="single"/>
        </w:rPr>
        <w:lastRenderedPageBreak/>
        <w:t>What Type of Help is Available?</w:t>
      </w:r>
    </w:p>
    <w:p w:rsidR="00116572" w:rsidRPr="00116572" w:rsidRDefault="00116572" w:rsidP="00116572">
      <w:pPr>
        <w:widowControl w:val="0"/>
        <w:jc w:val="both"/>
        <w:rPr>
          <w:rFonts w:ascii="Arial" w:hAnsi="Arial" w:cs="Arial"/>
        </w:rPr>
      </w:pPr>
    </w:p>
    <w:p w:rsidR="00116572" w:rsidRDefault="001E5484" w:rsidP="00116572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Some individuals have other health coverage that helps </w:t>
      </w:r>
      <w:r w:rsidR="001F3746">
        <w:rPr>
          <w:rFonts w:ascii="Arial" w:hAnsi="Arial" w:cs="Arial"/>
        </w:rPr>
        <w:t>cover</w:t>
      </w:r>
      <w:r>
        <w:rPr>
          <w:rFonts w:ascii="Arial" w:hAnsi="Arial" w:cs="Arial"/>
        </w:rPr>
        <w:t xml:space="preserve"> their Medicare cost sharing</w:t>
      </w:r>
      <w:r w:rsidR="00AA0718">
        <w:rPr>
          <w:rFonts w:ascii="Arial" w:hAnsi="Arial" w:cs="Arial"/>
        </w:rPr>
        <w:t>.  T</w:t>
      </w:r>
      <w:r>
        <w:rPr>
          <w:rFonts w:ascii="Arial" w:hAnsi="Arial" w:cs="Arial"/>
        </w:rPr>
        <w:t>h</w:t>
      </w:r>
      <w:r w:rsidR="00AA0718">
        <w:rPr>
          <w:rFonts w:ascii="Arial" w:hAnsi="Arial" w:cs="Arial"/>
        </w:rPr>
        <w:t xml:space="preserve">is flyer highlights two types of </w:t>
      </w:r>
      <w:r w:rsidRPr="00F03E31">
        <w:rPr>
          <w:rFonts w:ascii="Arial" w:hAnsi="Arial" w:cs="Arial"/>
          <w:i/>
        </w:rPr>
        <w:t>public benefits</w:t>
      </w:r>
      <w:r>
        <w:rPr>
          <w:rFonts w:ascii="Arial" w:hAnsi="Arial" w:cs="Arial"/>
        </w:rPr>
        <w:t xml:space="preserve"> that </w:t>
      </w:r>
      <w:r w:rsidR="00AA0718">
        <w:rPr>
          <w:rFonts w:ascii="Arial" w:hAnsi="Arial" w:cs="Arial"/>
        </w:rPr>
        <w:t>provide such he</w:t>
      </w:r>
      <w:r>
        <w:rPr>
          <w:rFonts w:ascii="Arial" w:hAnsi="Arial" w:cs="Arial"/>
        </w:rPr>
        <w:t>l</w:t>
      </w:r>
      <w:r w:rsidR="00AA0718">
        <w:rPr>
          <w:rFonts w:ascii="Arial" w:hAnsi="Arial" w:cs="Arial"/>
        </w:rPr>
        <w:t>p for lower income individuals</w:t>
      </w:r>
      <w:r>
        <w:rPr>
          <w:rFonts w:ascii="Arial" w:hAnsi="Arial" w:cs="Arial"/>
        </w:rPr>
        <w:t>: “</w:t>
      </w:r>
      <w:r w:rsidR="00116572" w:rsidRPr="00220059">
        <w:rPr>
          <w:rFonts w:ascii="Arial" w:hAnsi="Arial" w:cs="Arial"/>
          <w:b/>
        </w:rPr>
        <w:t>Medicare Savings Program</w:t>
      </w:r>
      <w:r w:rsidR="00644A15" w:rsidRPr="00220059">
        <w:rPr>
          <w:rFonts w:ascii="Arial" w:hAnsi="Arial" w:cs="Arial"/>
          <w:b/>
        </w:rPr>
        <w:t>s</w:t>
      </w:r>
      <w:r>
        <w:rPr>
          <w:rFonts w:ascii="Arial" w:hAnsi="Arial" w:cs="Arial"/>
        </w:rPr>
        <w:t>,” and “</w:t>
      </w:r>
      <w:r>
        <w:rPr>
          <w:rFonts w:ascii="Arial" w:hAnsi="Arial" w:cs="Arial"/>
          <w:b/>
        </w:rPr>
        <w:t>Extra Help</w:t>
      </w:r>
      <w:r>
        <w:rPr>
          <w:rFonts w:ascii="Arial" w:hAnsi="Arial" w:cs="Arial"/>
        </w:rPr>
        <w:t>” (a</w:t>
      </w:r>
      <w:r w:rsidR="00AA0718">
        <w:rPr>
          <w:rFonts w:ascii="Arial" w:hAnsi="Arial" w:cs="Arial"/>
        </w:rPr>
        <w:t xml:space="preserve">/k/a </w:t>
      </w:r>
      <w:r w:rsidR="001E6426">
        <w:rPr>
          <w:rFonts w:ascii="Arial" w:hAnsi="Arial" w:cs="Arial"/>
        </w:rPr>
        <w:t xml:space="preserve">“LIS,” </w:t>
      </w:r>
      <w:r w:rsidR="00AA0718">
        <w:rPr>
          <w:rFonts w:ascii="Arial" w:hAnsi="Arial" w:cs="Arial"/>
        </w:rPr>
        <w:t>the “</w:t>
      </w:r>
      <w:r w:rsidR="00116572" w:rsidRPr="00AA0718">
        <w:rPr>
          <w:rFonts w:ascii="Arial" w:hAnsi="Arial" w:cs="Arial"/>
        </w:rPr>
        <w:t>Low Income Subsidy</w:t>
      </w:r>
      <w:r w:rsidR="00AA0718">
        <w:rPr>
          <w:rFonts w:ascii="Arial" w:hAnsi="Arial" w:cs="Arial"/>
        </w:rPr>
        <w:t>”).</w:t>
      </w:r>
      <w:r w:rsidR="0038268D">
        <w:rPr>
          <w:rFonts w:ascii="Arial" w:hAnsi="Arial" w:cs="Arial"/>
          <w:b/>
        </w:rPr>
        <w:t xml:space="preserve"> </w:t>
      </w:r>
    </w:p>
    <w:p w:rsidR="00116572" w:rsidRPr="00116572" w:rsidRDefault="00116572" w:rsidP="00116572">
      <w:pPr>
        <w:widowControl w:val="0"/>
        <w:jc w:val="both"/>
        <w:rPr>
          <w:rFonts w:ascii="Arial" w:hAnsi="Arial" w:cs="Arial"/>
        </w:rPr>
      </w:pPr>
    </w:p>
    <w:p w:rsidR="00116572" w:rsidRPr="00220059" w:rsidRDefault="00116572" w:rsidP="00FA5449">
      <w:pPr>
        <w:tabs>
          <w:tab w:val="left" w:pos="1440"/>
        </w:tabs>
        <w:outlineLvl w:val="0"/>
        <w:rPr>
          <w:rFonts w:ascii="Arial" w:hAnsi="Arial" w:cs="Arial"/>
          <w:b/>
          <w:szCs w:val="24"/>
          <w:u w:val="single"/>
        </w:rPr>
      </w:pPr>
      <w:r w:rsidRPr="00220059">
        <w:rPr>
          <w:rFonts w:ascii="Arial" w:hAnsi="Arial" w:cs="Arial"/>
          <w:b/>
          <w:szCs w:val="24"/>
          <w:u w:val="single"/>
        </w:rPr>
        <w:t>What is a Medicare Savings Program?</w:t>
      </w:r>
    </w:p>
    <w:p w:rsidR="00116572" w:rsidRPr="00116572" w:rsidRDefault="00116572" w:rsidP="00116572">
      <w:pPr>
        <w:rPr>
          <w:rFonts w:ascii="Arial" w:hAnsi="Arial" w:cs="Arial"/>
          <w:b/>
          <w:szCs w:val="24"/>
        </w:rPr>
      </w:pPr>
    </w:p>
    <w:p w:rsidR="00220059" w:rsidRDefault="00116572" w:rsidP="00644A15">
      <w:pPr>
        <w:pStyle w:val="BodyTextIndent"/>
        <w:widowControl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There are three Medicare Savings Programs,</w:t>
      </w:r>
      <w:r w:rsidR="00F03E31">
        <w:rPr>
          <w:rFonts w:ascii="Arial" w:hAnsi="Arial" w:cs="Arial"/>
          <w:szCs w:val="24"/>
        </w:rPr>
        <w:t xml:space="preserve"> commonly referred to by their initials:</w:t>
      </w:r>
      <w:r>
        <w:rPr>
          <w:rFonts w:ascii="Arial" w:hAnsi="Arial" w:cs="Arial"/>
          <w:szCs w:val="24"/>
        </w:rPr>
        <w:t xml:space="preserve"> </w:t>
      </w:r>
      <w:r w:rsidR="00AA0718">
        <w:rPr>
          <w:rFonts w:ascii="Arial" w:hAnsi="Arial" w:cs="Arial"/>
          <w:szCs w:val="24"/>
        </w:rPr>
        <w:t>“</w:t>
      </w:r>
      <w:r w:rsidRPr="00AA0718">
        <w:rPr>
          <w:rFonts w:ascii="Arial" w:hAnsi="Arial" w:cs="Arial"/>
          <w:b/>
          <w:szCs w:val="24"/>
        </w:rPr>
        <w:t>QMB</w:t>
      </w:r>
      <w:r w:rsidR="00F03E31">
        <w:rPr>
          <w:rFonts w:ascii="Arial" w:hAnsi="Arial" w:cs="Arial"/>
          <w:szCs w:val="24"/>
        </w:rPr>
        <w:t>,</w:t>
      </w:r>
      <w:r w:rsidR="00AA0718">
        <w:rPr>
          <w:rFonts w:ascii="Arial" w:hAnsi="Arial" w:cs="Arial"/>
          <w:szCs w:val="24"/>
        </w:rPr>
        <w:t>”</w:t>
      </w:r>
      <w:r w:rsidR="00F03E31">
        <w:rPr>
          <w:rFonts w:ascii="Arial" w:hAnsi="Arial" w:cs="Arial"/>
          <w:szCs w:val="24"/>
        </w:rPr>
        <w:t xml:space="preserve"> </w:t>
      </w:r>
      <w:r w:rsidR="00AA0718">
        <w:rPr>
          <w:rFonts w:ascii="Arial" w:hAnsi="Arial" w:cs="Arial"/>
          <w:szCs w:val="24"/>
        </w:rPr>
        <w:t>“</w:t>
      </w:r>
      <w:r w:rsidRPr="00AA0718">
        <w:rPr>
          <w:rFonts w:ascii="Arial" w:hAnsi="Arial" w:cs="Arial"/>
          <w:b/>
          <w:szCs w:val="24"/>
        </w:rPr>
        <w:t>SLMB</w:t>
      </w:r>
      <w:r w:rsidR="00F03E31">
        <w:rPr>
          <w:rFonts w:ascii="Arial" w:hAnsi="Arial" w:cs="Arial"/>
          <w:szCs w:val="24"/>
        </w:rPr>
        <w:t xml:space="preserve">,” </w:t>
      </w:r>
      <w:r>
        <w:rPr>
          <w:rFonts w:ascii="Arial" w:hAnsi="Arial" w:cs="Arial"/>
          <w:szCs w:val="24"/>
        </w:rPr>
        <w:t xml:space="preserve">and </w:t>
      </w:r>
      <w:r w:rsidR="00F03E31">
        <w:rPr>
          <w:rFonts w:ascii="Arial" w:hAnsi="Arial" w:cs="Arial"/>
          <w:szCs w:val="24"/>
        </w:rPr>
        <w:t>“</w:t>
      </w:r>
      <w:r w:rsidRPr="00AA0718">
        <w:rPr>
          <w:rFonts w:ascii="Arial" w:hAnsi="Arial" w:cs="Arial"/>
          <w:b/>
          <w:szCs w:val="24"/>
        </w:rPr>
        <w:t>QI</w:t>
      </w:r>
      <w:r w:rsidR="0074436B">
        <w:rPr>
          <w:rFonts w:ascii="Arial" w:hAnsi="Arial" w:cs="Arial"/>
          <w:szCs w:val="24"/>
        </w:rPr>
        <w:t>.</w:t>
      </w:r>
      <w:r w:rsidR="00F03E31">
        <w:rPr>
          <w:rFonts w:ascii="Arial" w:hAnsi="Arial" w:cs="Arial"/>
          <w:szCs w:val="24"/>
        </w:rPr>
        <w:t>”</w:t>
      </w:r>
      <w:r>
        <w:rPr>
          <w:rFonts w:ascii="Arial" w:hAnsi="Arial" w:cs="Arial"/>
          <w:szCs w:val="24"/>
        </w:rPr>
        <w:t xml:space="preserve">  These</w:t>
      </w:r>
      <w:r w:rsidR="00644A15">
        <w:rPr>
          <w:rFonts w:ascii="Arial" w:hAnsi="Arial" w:cs="Arial"/>
          <w:szCs w:val="24"/>
        </w:rPr>
        <w:t xml:space="preserve"> </w:t>
      </w:r>
      <w:r w:rsidR="00F03E31">
        <w:rPr>
          <w:rFonts w:ascii="Arial" w:hAnsi="Arial" w:cs="Arial"/>
          <w:szCs w:val="24"/>
        </w:rPr>
        <w:t xml:space="preserve">are </w:t>
      </w:r>
      <w:r>
        <w:rPr>
          <w:rFonts w:ascii="Arial" w:hAnsi="Arial" w:cs="Arial"/>
          <w:szCs w:val="24"/>
        </w:rPr>
        <w:t>special</w:t>
      </w:r>
      <w:r w:rsidR="00AA0718">
        <w:rPr>
          <w:rFonts w:ascii="Arial" w:hAnsi="Arial" w:cs="Arial"/>
          <w:szCs w:val="24"/>
        </w:rPr>
        <w:t>, limited</w:t>
      </w:r>
      <w:r>
        <w:rPr>
          <w:rFonts w:ascii="Arial" w:hAnsi="Arial" w:cs="Arial"/>
          <w:szCs w:val="24"/>
        </w:rPr>
        <w:t xml:space="preserve"> type</w:t>
      </w:r>
      <w:r w:rsidR="00F03E31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of </w:t>
      </w:r>
      <w:r w:rsidRPr="00AA0718">
        <w:rPr>
          <w:rFonts w:ascii="Arial" w:hAnsi="Arial" w:cs="Arial"/>
          <w:i/>
          <w:szCs w:val="24"/>
        </w:rPr>
        <w:t>Medicaid</w:t>
      </w:r>
      <w:r>
        <w:rPr>
          <w:rFonts w:ascii="Arial" w:hAnsi="Arial" w:cs="Arial"/>
          <w:szCs w:val="24"/>
        </w:rPr>
        <w:t xml:space="preserve"> coverage that </w:t>
      </w:r>
      <w:r w:rsidR="00F03E31">
        <w:rPr>
          <w:rFonts w:ascii="Arial" w:hAnsi="Arial" w:cs="Arial"/>
          <w:szCs w:val="24"/>
        </w:rPr>
        <w:t>cover</w:t>
      </w:r>
      <w:r>
        <w:rPr>
          <w:rFonts w:ascii="Arial" w:hAnsi="Arial" w:cs="Arial"/>
          <w:szCs w:val="24"/>
        </w:rPr>
        <w:t xml:space="preserve"> all or part of your Medicare premiums and cost sharing,</w:t>
      </w:r>
      <w:r w:rsidRPr="00116572">
        <w:rPr>
          <w:rFonts w:ascii="Arial" w:hAnsi="Arial" w:cs="Arial"/>
          <w:i/>
          <w:szCs w:val="24"/>
        </w:rPr>
        <w:t xml:space="preserve"> (but not for any added services).</w:t>
      </w:r>
      <w:r>
        <w:rPr>
          <w:rFonts w:ascii="Arial" w:hAnsi="Arial" w:cs="Arial"/>
          <w:szCs w:val="24"/>
        </w:rPr>
        <w:t xml:space="preserve"> </w:t>
      </w:r>
      <w:r w:rsidRPr="00116572">
        <w:rPr>
          <w:rFonts w:ascii="Arial" w:hAnsi="Arial" w:cs="Arial"/>
          <w:szCs w:val="24"/>
        </w:rPr>
        <w:t xml:space="preserve">QMB </w:t>
      </w:r>
      <w:r w:rsidR="00F03E31">
        <w:rPr>
          <w:rFonts w:ascii="Arial" w:hAnsi="Arial" w:cs="Arial"/>
          <w:szCs w:val="24"/>
        </w:rPr>
        <w:t>covers</w:t>
      </w:r>
      <w:r w:rsidRPr="00116572">
        <w:rPr>
          <w:rFonts w:ascii="Arial" w:hAnsi="Arial" w:cs="Arial"/>
          <w:szCs w:val="24"/>
        </w:rPr>
        <w:t xml:space="preserve"> </w:t>
      </w:r>
      <w:r w:rsidRPr="00220059">
        <w:rPr>
          <w:rFonts w:ascii="Arial" w:hAnsi="Arial" w:cs="Arial"/>
          <w:i/>
          <w:szCs w:val="24"/>
        </w:rPr>
        <w:t>all</w:t>
      </w:r>
      <w:r w:rsidR="0074436B">
        <w:rPr>
          <w:rFonts w:ascii="Arial" w:hAnsi="Arial" w:cs="Arial"/>
          <w:szCs w:val="24"/>
        </w:rPr>
        <w:t xml:space="preserve"> </w:t>
      </w:r>
      <w:r w:rsidRPr="00116572">
        <w:rPr>
          <w:rFonts w:ascii="Arial" w:hAnsi="Arial" w:cs="Arial"/>
          <w:szCs w:val="24"/>
        </w:rPr>
        <w:t>your Medicare premiums and cost sharing</w:t>
      </w:r>
      <w:r>
        <w:rPr>
          <w:rFonts w:ascii="Arial" w:hAnsi="Arial" w:cs="Arial"/>
          <w:szCs w:val="24"/>
        </w:rPr>
        <w:t>.</w:t>
      </w:r>
      <w:r w:rsidR="00644A15">
        <w:rPr>
          <w:rFonts w:ascii="Arial" w:hAnsi="Arial" w:cs="Arial"/>
          <w:szCs w:val="24"/>
        </w:rPr>
        <w:t xml:space="preserve">  SLMB and QI pay </w:t>
      </w:r>
      <w:r w:rsidR="00644A15" w:rsidRPr="00220059">
        <w:rPr>
          <w:rFonts w:ascii="Arial" w:hAnsi="Arial" w:cs="Arial"/>
          <w:i/>
          <w:szCs w:val="24"/>
        </w:rPr>
        <w:t>only</w:t>
      </w:r>
      <w:r w:rsidR="00644A15">
        <w:rPr>
          <w:rFonts w:ascii="Arial" w:hAnsi="Arial" w:cs="Arial"/>
          <w:szCs w:val="24"/>
        </w:rPr>
        <w:t xml:space="preserve"> for you</w:t>
      </w:r>
      <w:r w:rsidR="001F3746">
        <w:rPr>
          <w:rFonts w:ascii="Arial" w:hAnsi="Arial" w:cs="Arial"/>
          <w:szCs w:val="24"/>
        </w:rPr>
        <w:t>r</w:t>
      </w:r>
      <w:r w:rsidR="00644A15">
        <w:rPr>
          <w:rFonts w:ascii="Arial" w:hAnsi="Arial" w:cs="Arial"/>
          <w:szCs w:val="24"/>
        </w:rPr>
        <w:t xml:space="preserve"> Medicare “Part B” premium.</w:t>
      </w:r>
      <w:r w:rsidR="00EC54A3" w:rsidRPr="00EC54A3">
        <w:rPr>
          <w:rFonts w:ascii="Arial" w:hAnsi="Arial" w:cs="Arial"/>
          <w:szCs w:val="24"/>
        </w:rPr>
        <w:t xml:space="preserve"> </w:t>
      </w:r>
    </w:p>
    <w:p w:rsidR="00220059" w:rsidRDefault="00220059" w:rsidP="00644A15">
      <w:pPr>
        <w:pStyle w:val="BodyTextIndent"/>
        <w:widowControl/>
        <w:ind w:left="0"/>
        <w:jc w:val="both"/>
        <w:rPr>
          <w:rFonts w:ascii="Arial" w:hAnsi="Arial" w:cs="Arial"/>
          <w:szCs w:val="24"/>
        </w:rPr>
      </w:pPr>
    </w:p>
    <w:p w:rsidR="00116572" w:rsidRDefault="00FA5449" w:rsidP="00644A15">
      <w:pPr>
        <w:pStyle w:val="BodyTextIndent"/>
        <w:widowControl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</w:t>
      </w:r>
      <w:r w:rsidR="00993F5B">
        <w:rPr>
          <w:rFonts w:ascii="Arial" w:hAnsi="Arial" w:cs="Arial"/>
          <w:szCs w:val="24"/>
        </w:rPr>
        <w:t xml:space="preserve">countable </w:t>
      </w:r>
      <w:r>
        <w:rPr>
          <w:rFonts w:ascii="Arial" w:hAnsi="Arial" w:cs="Arial"/>
          <w:szCs w:val="24"/>
        </w:rPr>
        <w:t>income and resource limits for these Medicaid programs</w:t>
      </w:r>
      <w:r w:rsidR="00A80623">
        <w:rPr>
          <w:rFonts w:ascii="Arial" w:hAnsi="Arial" w:cs="Arial"/>
          <w:szCs w:val="24"/>
        </w:rPr>
        <w:t>, effective 4/1/1</w:t>
      </w:r>
      <w:r w:rsidR="00A3677B">
        <w:rPr>
          <w:rFonts w:ascii="Arial" w:hAnsi="Arial" w:cs="Arial"/>
          <w:szCs w:val="24"/>
        </w:rPr>
        <w:t>8</w:t>
      </w:r>
      <w:r w:rsidR="00A80623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are:</w:t>
      </w:r>
    </w:p>
    <w:p w:rsidR="00EC54A3" w:rsidRDefault="00EC54A3" w:rsidP="00644A15">
      <w:pPr>
        <w:pStyle w:val="BodyTextIndent"/>
        <w:widowControl/>
        <w:ind w:left="0"/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9"/>
        <w:gridCol w:w="2078"/>
        <w:gridCol w:w="2085"/>
      </w:tblGrid>
      <w:tr w:rsidR="00EC54A3" w:rsidTr="00EC54A3">
        <w:tc>
          <w:tcPr>
            <w:tcW w:w="2136" w:type="dxa"/>
          </w:tcPr>
          <w:p w:rsidR="00EC54A3" w:rsidRDefault="00EC54A3" w:rsidP="00644A15">
            <w:pPr>
              <w:pStyle w:val="BodyTextIndent"/>
              <w:widowControl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136" w:type="dxa"/>
          </w:tcPr>
          <w:p w:rsidR="00EC54A3" w:rsidRPr="00EC54A3" w:rsidRDefault="00EC54A3" w:rsidP="00644A15">
            <w:pPr>
              <w:pStyle w:val="BodyTextIndent"/>
              <w:widowControl/>
              <w:ind w:left="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INCOME</w:t>
            </w:r>
            <w:r w:rsidR="00220059">
              <w:rPr>
                <w:rFonts w:ascii="Arial" w:hAnsi="Arial" w:cs="Arial"/>
                <w:b/>
                <w:szCs w:val="24"/>
              </w:rPr>
              <w:t>*</w:t>
            </w:r>
          </w:p>
        </w:tc>
        <w:tc>
          <w:tcPr>
            <w:tcW w:w="2136" w:type="dxa"/>
          </w:tcPr>
          <w:p w:rsidR="00EC54A3" w:rsidRPr="00EC54A3" w:rsidRDefault="00EC54A3" w:rsidP="00644A15">
            <w:pPr>
              <w:pStyle w:val="BodyTextIndent"/>
              <w:widowControl/>
              <w:ind w:left="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RESOURCES</w:t>
            </w:r>
          </w:p>
        </w:tc>
      </w:tr>
      <w:tr w:rsidR="00EC54A3" w:rsidTr="00EC54A3">
        <w:tc>
          <w:tcPr>
            <w:tcW w:w="2136" w:type="dxa"/>
          </w:tcPr>
          <w:p w:rsidR="00EC54A3" w:rsidRPr="00EC54A3" w:rsidRDefault="00EC54A3" w:rsidP="00644A15">
            <w:pPr>
              <w:pStyle w:val="BodyTextIndent"/>
              <w:widowControl/>
              <w:ind w:left="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QMB</w:t>
            </w:r>
          </w:p>
        </w:tc>
        <w:tc>
          <w:tcPr>
            <w:tcW w:w="2136" w:type="dxa"/>
          </w:tcPr>
          <w:p w:rsidR="00EC54A3" w:rsidRDefault="00EC54A3" w:rsidP="00644A15">
            <w:pPr>
              <w:pStyle w:val="BodyTextIndent"/>
              <w:widowControl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136" w:type="dxa"/>
          </w:tcPr>
          <w:p w:rsidR="00EC54A3" w:rsidRDefault="00EC54A3" w:rsidP="00644A15">
            <w:pPr>
              <w:pStyle w:val="BodyTextIndent"/>
              <w:widowControl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C54A3" w:rsidTr="00EC54A3">
        <w:tc>
          <w:tcPr>
            <w:tcW w:w="2136" w:type="dxa"/>
          </w:tcPr>
          <w:p w:rsidR="00EC54A3" w:rsidRDefault="00EC54A3" w:rsidP="00644A15">
            <w:pPr>
              <w:pStyle w:val="BodyTextIndent"/>
              <w:widowControl/>
              <w:ind w:lef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Individual</w:t>
            </w:r>
          </w:p>
        </w:tc>
        <w:tc>
          <w:tcPr>
            <w:tcW w:w="2136" w:type="dxa"/>
          </w:tcPr>
          <w:p w:rsidR="00EC54A3" w:rsidRDefault="00EC54A3" w:rsidP="00046867">
            <w:pPr>
              <w:pStyle w:val="BodyTextIndent"/>
              <w:widowControl/>
              <w:ind w:lef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</w:t>
            </w:r>
            <w:r w:rsidR="006D52C2">
              <w:rPr>
                <w:rFonts w:ascii="Arial" w:hAnsi="Arial" w:cs="Arial"/>
                <w:szCs w:val="24"/>
              </w:rPr>
              <w:t>1,0</w:t>
            </w:r>
            <w:r w:rsidR="00A3677B">
              <w:rPr>
                <w:rFonts w:ascii="Arial" w:hAnsi="Arial" w:cs="Arial"/>
                <w:szCs w:val="24"/>
              </w:rPr>
              <w:t>32</w:t>
            </w:r>
            <w:r w:rsidR="00993F5B">
              <w:rPr>
                <w:rFonts w:ascii="Arial" w:hAnsi="Arial" w:cs="Arial"/>
                <w:szCs w:val="24"/>
              </w:rPr>
              <w:t>/month</w:t>
            </w:r>
          </w:p>
        </w:tc>
        <w:tc>
          <w:tcPr>
            <w:tcW w:w="2136" w:type="dxa"/>
          </w:tcPr>
          <w:p w:rsidR="00EC54A3" w:rsidRDefault="00CE51C9" w:rsidP="00EF7B37">
            <w:pPr>
              <w:pStyle w:val="BodyTextIndent"/>
              <w:widowControl/>
              <w:ind w:lef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</w:t>
            </w:r>
            <w:r w:rsidR="00A80623">
              <w:rPr>
                <w:rFonts w:ascii="Arial" w:hAnsi="Arial" w:cs="Arial"/>
                <w:szCs w:val="24"/>
              </w:rPr>
              <w:t>7,</w:t>
            </w:r>
            <w:r w:rsidR="00EF7B37">
              <w:rPr>
                <w:rFonts w:ascii="Arial" w:hAnsi="Arial" w:cs="Arial"/>
                <w:szCs w:val="24"/>
              </w:rPr>
              <w:t>560</w:t>
            </w:r>
          </w:p>
        </w:tc>
      </w:tr>
      <w:tr w:rsidR="00EC54A3" w:rsidTr="00EC54A3">
        <w:tc>
          <w:tcPr>
            <w:tcW w:w="2136" w:type="dxa"/>
          </w:tcPr>
          <w:p w:rsidR="00EC54A3" w:rsidRDefault="00EC54A3" w:rsidP="00644A15">
            <w:pPr>
              <w:pStyle w:val="BodyTextIndent"/>
              <w:widowControl/>
              <w:ind w:lef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Couple</w:t>
            </w:r>
          </w:p>
        </w:tc>
        <w:tc>
          <w:tcPr>
            <w:tcW w:w="2136" w:type="dxa"/>
          </w:tcPr>
          <w:p w:rsidR="00EC54A3" w:rsidRDefault="00EC54A3" w:rsidP="00046867">
            <w:pPr>
              <w:pStyle w:val="BodyTextIndent"/>
              <w:widowControl/>
              <w:ind w:lef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$1,</w:t>
            </w:r>
            <w:r w:rsidR="002901A5">
              <w:rPr>
                <w:rFonts w:ascii="Arial" w:hAnsi="Arial" w:cs="Arial"/>
                <w:szCs w:val="24"/>
              </w:rPr>
              <w:t>3</w:t>
            </w:r>
            <w:r w:rsidR="00A3677B">
              <w:rPr>
                <w:rFonts w:ascii="Arial" w:hAnsi="Arial" w:cs="Arial"/>
                <w:szCs w:val="24"/>
              </w:rPr>
              <w:t>92</w:t>
            </w:r>
            <w:r w:rsidR="00993F5B">
              <w:rPr>
                <w:rFonts w:ascii="Arial" w:hAnsi="Arial" w:cs="Arial"/>
                <w:szCs w:val="24"/>
              </w:rPr>
              <w:t>/month</w:t>
            </w:r>
          </w:p>
        </w:tc>
        <w:tc>
          <w:tcPr>
            <w:tcW w:w="2136" w:type="dxa"/>
          </w:tcPr>
          <w:p w:rsidR="00EC54A3" w:rsidRDefault="006D52C2" w:rsidP="001E6426">
            <w:pPr>
              <w:pStyle w:val="BodyTextIndent"/>
              <w:widowControl/>
              <w:ind w:lef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</w:t>
            </w:r>
            <w:r w:rsidR="00A80623">
              <w:rPr>
                <w:rFonts w:ascii="Arial" w:hAnsi="Arial" w:cs="Arial"/>
                <w:szCs w:val="24"/>
              </w:rPr>
              <w:t>1</w:t>
            </w:r>
            <w:r w:rsidR="00EF7B37">
              <w:rPr>
                <w:rFonts w:ascii="Arial" w:hAnsi="Arial" w:cs="Arial"/>
                <w:szCs w:val="24"/>
              </w:rPr>
              <w:t>1,34</w:t>
            </w:r>
            <w:r w:rsidR="001E6426">
              <w:rPr>
                <w:rFonts w:ascii="Arial" w:hAnsi="Arial" w:cs="Arial"/>
                <w:szCs w:val="24"/>
              </w:rPr>
              <w:t>0</w:t>
            </w:r>
          </w:p>
        </w:tc>
      </w:tr>
      <w:tr w:rsidR="00EC54A3" w:rsidTr="00EC54A3">
        <w:tc>
          <w:tcPr>
            <w:tcW w:w="2136" w:type="dxa"/>
          </w:tcPr>
          <w:p w:rsidR="00EC54A3" w:rsidRPr="00EC54A3" w:rsidRDefault="00EC54A3" w:rsidP="00644A15">
            <w:pPr>
              <w:pStyle w:val="BodyTextIndent"/>
              <w:widowControl/>
              <w:ind w:left="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SLMB</w:t>
            </w:r>
          </w:p>
        </w:tc>
        <w:tc>
          <w:tcPr>
            <w:tcW w:w="2136" w:type="dxa"/>
          </w:tcPr>
          <w:p w:rsidR="00EC54A3" w:rsidRDefault="00EC54A3" w:rsidP="00EC54A3">
            <w:pPr>
              <w:pStyle w:val="BodyTextIndent"/>
              <w:widowControl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136" w:type="dxa"/>
          </w:tcPr>
          <w:p w:rsidR="00EC54A3" w:rsidRDefault="00EC54A3" w:rsidP="00EC54A3">
            <w:pPr>
              <w:pStyle w:val="BodyTextIndent"/>
              <w:widowControl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C54A3" w:rsidTr="00EC54A3">
        <w:tc>
          <w:tcPr>
            <w:tcW w:w="2136" w:type="dxa"/>
          </w:tcPr>
          <w:p w:rsidR="00EC54A3" w:rsidRDefault="00EC54A3" w:rsidP="00644A15">
            <w:pPr>
              <w:pStyle w:val="BodyTextIndent"/>
              <w:widowControl/>
              <w:ind w:lef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Individual</w:t>
            </w:r>
          </w:p>
        </w:tc>
        <w:tc>
          <w:tcPr>
            <w:tcW w:w="2136" w:type="dxa"/>
          </w:tcPr>
          <w:p w:rsidR="00EC54A3" w:rsidRDefault="006D52C2" w:rsidP="00EF7B37">
            <w:pPr>
              <w:pStyle w:val="BodyTextIndent"/>
              <w:widowControl/>
              <w:ind w:lef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$1,</w:t>
            </w:r>
            <w:r w:rsidR="00A80623">
              <w:rPr>
                <w:rFonts w:ascii="Arial" w:hAnsi="Arial" w:cs="Arial"/>
                <w:szCs w:val="24"/>
              </w:rPr>
              <w:t>2</w:t>
            </w:r>
            <w:r w:rsidR="00EF7B37">
              <w:rPr>
                <w:rFonts w:ascii="Arial" w:hAnsi="Arial" w:cs="Arial"/>
                <w:szCs w:val="24"/>
              </w:rPr>
              <w:t>34</w:t>
            </w:r>
            <w:r w:rsidR="00993F5B">
              <w:rPr>
                <w:rFonts w:ascii="Arial" w:hAnsi="Arial" w:cs="Arial"/>
                <w:szCs w:val="24"/>
              </w:rPr>
              <w:t>/month</w:t>
            </w:r>
          </w:p>
        </w:tc>
        <w:tc>
          <w:tcPr>
            <w:tcW w:w="2136" w:type="dxa"/>
          </w:tcPr>
          <w:p w:rsidR="00EC54A3" w:rsidRDefault="00CE51C9" w:rsidP="00EF7B37">
            <w:pPr>
              <w:pStyle w:val="BodyTextIndent"/>
              <w:widowControl/>
              <w:ind w:lef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</w:t>
            </w:r>
            <w:r w:rsidR="00A80623">
              <w:rPr>
                <w:rFonts w:ascii="Arial" w:hAnsi="Arial" w:cs="Arial"/>
                <w:szCs w:val="24"/>
              </w:rPr>
              <w:t>7,</w:t>
            </w:r>
            <w:r w:rsidR="00EF7B37">
              <w:rPr>
                <w:rFonts w:ascii="Arial" w:hAnsi="Arial" w:cs="Arial"/>
                <w:szCs w:val="24"/>
              </w:rPr>
              <w:t>56</w:t>
            </w:r>
            <w:r w:rsidR="001E6426">
              <w:rPr>
                <w:rFonts w:ascii="Arial" w:hAnsi="Arial" w:cs="Arial"/>
                <w:szCs w:val="24"/>
              </w:rPr>
              <w:t>0</w:t>
            </w:r>
          </w:p>
        </w:tc>
      </w:tr>
      <w:tr w:rsidR="00EC54A3" w:rsidTr="00EC54A3">
        <w:tc>
          <w:tcPr>
            <w:tcW w:w="2136" w:type="dxa"/>
          </w:tcPr>
          <w:p w:rsidR="00EC54A3" w:rsidRDefault="00EC54A3" w:rsidP="00644A15">
            <w:pPr>
              <w:pStyle w:val="BodyTextIndent"/>
              <w:widowControl/>
              <w:ind w:lef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Couple</w:t>
            </w:r>
          </w:p>
        </w:tc>
        <w:tc>
          <w:tcPr>
            <w:tcW w:w="2136" w:type="dxa"/>
          </w:tcPr>
          <w:p w:rsidR="00EC54A3" w:rsidRDefault="006D52C2" w:rsidP="00EF7B37">
            <w:pPr>
              <w:pStyle w:val="BodyTextIndent"/>
              <w:widowControl/>
              <w:ind w:lef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$1,</w:t>
            </w:r>
            <w:r w:rsidR="00046867">
              <w:rPr>
                <w:rFonts w:ascii="Arial" w:hAnsi="Arial" w:cs="Arial"/>
                <w:szCs w:val="24"/>
              </w:rPr>
              <w:t>6</w:t>
            </w:r>
            <w:r w:rsidR="00EF7B37">
              <w:rPr>
                <w:rFonts w:ascii="Arial" w:hAnsi="Arial" w:cs="Arial"/>
                <w:szCs w:val="24"/>
              </w:rPr>
              <w:t>66</w:t>
            </w:r>
            <w:r w:rsidR="00993F5B">
              <w:rPr>
                <w:rFonts w:ascii="Arial" w:hAnsi="Arial" w:cs="Arial"/>
                <w:szCs w:val="24"/>
              </w:rPr>
              <w:t>/month</w:t>
            </w:r>
          </w:p>
        </w:tc>
        <w:tc>
          <w:tcPr>
            <w:tcW w:w="2136" w:type="dxa"/>
          </w:tcPr>
          <w:p w:rsidR="00EC54A3" w:rsidRDefault="00C23B25" w:rsidP="00EF7B37">
            <w:pPr>
              <w:pStyle w:val="BodyTextIndent"/>
              <w:widowControl/>
              <w:ind w:lef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</w:t>
            </w:r>
            <w:r w:rsidR="00A80623">
              <w:rPr>
                <w:rFonts w:ascii="Arial" w:hAnsi="Arial" w:cs="Arial"/>
                <w:szCs w:val="24"/>
              </w:rPr>
              <w:t>1</w:t>
            </w:r>
            <w:r w:rsidR="001E6426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,</w:t>
            </w:r>
            <w:r w:rsidR="00EF7B37">
              <w:rPr>
                <w:rFonts w:ascii="Arial" w:hAnsi="Arial" w:cs="Arial"/>
                <w:szCs w:val="24"/>
              </w:rPr>
              <w:t>34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</w:tr>
      <w:tr w:rsidR="00EC54A3" w:rsidTr="00EC54A3">
        <w:tc>
          <w:tcPr>
            <w:tcW w:w="2136" w:type="dxa"/>
          </w:tcPr>
          <w:p w:rsidR="00EC54A3" w:rsidRPr="00EC54A3" w:rsidRDefault="00EC54A3" w:rsidP="00644A15">
            <w:pPr>
              <w:pStyle w:val="BodyTextIndent"/>
              <w:widowControl/>
              <w:ind w:left="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QI</w:t>
            </w:r>
          </w:p>
        </w:tc>
        <w:tc>
          <w:tcPr>
            <w:tcW w:w="2136" w:type="dxa"/>
          </w:tcPr>
          <w:p w:rsidR="00EC54A3" w:rsidRDefault="00EC54A3" w:rsidP="00EC54A3">
            <w:pPr>
              <w:pStyle w:val="BodyTextIndent"/>
              <w:widowControl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136" w:type="dxa"/>
          </w:tcPr>
          <w:p w:rsidR="00EC54A3" w:rsidRDefault="00EC54A3" w:rsidP="00EC54A3">
            <w:pPr>
              <w:pStyle w:val="BodyTextIndent"/>
              <w:widowControl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C54A3" w:rsidTr="00EC54A3">
        <w:tc>
          <w:tcPr>
            <w:tcW w:w="2136" w:type="dxa"/>
          </w:tcPr>
          <w:p w:rsidR="00EC54A3" w:rsidRDefault="00EC54A3" w:rsidP="00644A15">
            <w:pPr>
              <w:pStyle w:val="BodyTextIndent"/>
              <w:widowControl/>
              <w:ind w:lef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Individual</w:t>
            </w:r>
          </w:p>
        </w:tc>
        <w:tc>
          <w:tcPr>
            <w:tcW w:w="2136" w:type="dxa"/>
          </w:tcPr>
          <w:p w:rsidR="00EC54A3" w:rsidRDefault="00EC54A3" w:rsidP="00EF7B37">
            <w:pPr>
              <w:pStyle w:val="BodyTextIndent"/>
              <w:widowControl/>
              <w:ind w:lef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$1,</w:t>
            </w:r>
            <w:r w:rsidR="008B48DB">
              <w:rPr>
                <w:rFonts w:ascii="Arial" w:hAnsi="Arial" w:cs="Arial"/>
                <w:szCs w:val="24"/>
              </w:rPr>
              <w:t>3</w:t>
            </w:r>
            <w:r w:rsidR="00EF7B37">
              <w:rPr>
                <w:rFonts w:ascii="Arial" w:hAnsi="Arial" w:cs="Arial"/>
                <w:szCs w:val="24"/>
              </w:rPr>
              <w:t>86</w:t>
            </w:r>
            <w:r w:rsidR="00993F5B">
              <w:rPr>
                <w:rFonts w:ascii="Arial" w:hAnsi="Arial" w:cs="Arial"/>
                <w:szCs w:val="24"/>
              </w:rPr>
              <w:t>/month</w:t>
            </w:r>
          </w:p>
        </w:tc>
        <w:tc>
          <w:tcPr>
            <w:tcW w:w="2136" w:type="dxa"/>
          </w:tcPr>
          <w:p w:rsidR="00EC54A3" w:rsidRDefault="00EC54A3" w:rsidP="001E6426">
            <w:pPr>
              <w:pStyle w:val="BodyTextIndent"/>
              <w:widowControl/>
              <w:ind w:lef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</w:t>
            </w:r>
            <w:r w:rsidR="00A80623">
              <w:rPr>
                <w:rFonts w:ascii="Arial" w:hAnsi="Arial" w:cs="Arial"/>
                <w:szCs w:val="24"/>
              </w:rPr>
              <w:t>7,</w:t>
            </w:r>
            <w:r w:rsidR="00EF7B37">
              <w:rPr>
                <w:rFonts w:ascii="Arial" w:hAnsi="Arial" w:cs="Arial"/>
                <w:szCs w:val="24"/>
              </w:rPr>
              <w:t>56</w:t>
            </w:r>
            <w:r w:rsidR="001E6426">
              <w:rPr>
                <w:rFonts w:ascii="Arial" w:hAnsi="Arial" w:cs="Arial"/>
                <w:szCs w:val="24"/>
              </w:rPr>
              <w:t>0</w:t>
            </w:r>
          </w:p>
        </w:tc>
      </w:tr>
      <w:tr w:rsidR="00EC54A3" w:rsidTr="00EC54A3">
        <w:tc>
          <w:tcPr>
            <w:tcW w:w="2136" w:type="dxa"/>
          </w:tcPr>
          <w:p w:rsidR="00EC54A3" w:rsidRDefault="00EC54A3" w:rsidP="00644A15">
            <w:pPr>
              <w:pStyle w:val="BodyTextIndent"/>
              <w:widowControl/>
              <w:ind w:lef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Couple</w:t>
            </w:r>
          </w:p>
        </w:tc>
        <w:tc>
          <w:tcPr>
            <w:tcW w:w="2136" w:type="dxa"/>
          </w:tcPr>
          <w:p w:rsidR="00EC54A3" w:rsidRDefault="006D52C2" w:rsidP="00EF7B37">
            <w:pPr>
              <w:pStyle w:val="BodyTextIndent"/>
              <w:widowControl/>
              <w:ind w:lef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$1,8</w:t>
            </w:r>
            <w:r w:rsidR="00EF7B37">
              <w:rPr>
                <w:rFonts w:ascii="Arial" w:hAnsi="Arial" w:cs="Arial"/>
                <w:szCs w:val="24"/>
              </w:rPr>
              <w:t>72</w:t>
            </w:r>
            <w:r w:rsidR="00993F5B">
              <w:rPr>
                <w:rFonts w:ascii="Arial" w:hAnsi="Arial" w:cs="Arial"/>
                <w:szCs w:val="24"/>
              </w:rPr>
              <w:t>/month</w:t>
            </w:r>
          </w:p>
        </w:tc>
        <w:tc>
          <w:tcPr>
            <w:tcW w:w="2136" w:type="dxa"/>
          </w:tcPr>
          <w:p w:rsidR="00EC54A3" w:rsidRDefault="00C23B25" w:rsidP="001E6426">
            <w:pPr>
              <w:pStyle w:val="BodyTextIndent"/>
              <w:widowControl/>
              <w:ind w:lef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</w:t>
            </w:r>
            <w:r w:rsidR="00A80623">
              <w:rPr>
                <w:rFonts w:ascii="Arial" w:hAnsi="Arial" w:cs="Arial"/>
                <w:szCs w:val="24"/>
              </w:rPr>
              <w:t>1</w:t>
            </w:r>
            <w:r w:rsidR="00EF7B37">
              <w:rPr>
                <w:rFonts w:ascii="Arial" w:hAnsi="Arial" w:cs="Arial"/>
                <w:szCs w:val="24"/>
              </w:rPr>
              <w:t>1,34</w:t>
            </w:r>
            <w:r w:rsidR="001E6426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220059" w:rsidRDefault="00EF7B37" w:rsidP="004E2B44">
      <w:pPr>
        <w:pStyle w:val="BodyTextIndent"/>
        <w:widowControl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br/>
      </w:r>
      <w:r w:rsidR="004E2B44">
        <w:rPr>
          <w:rFonts w:ascii="Arial" w:hAnsi="Arial" w:cs="Arial"/>
          <w:b/>
          <w:szCs w:val="24"/>
        </w:rPr>
        <w:t>*</w:t>
      </w:r>
      <w:r w:rsidR="004E2B44">
        <w:rPr>
          <w:rFonts w:ascii="Arial" w:hAnsi="Arial" w:cs="Arial"/>
          <w:szCs w:val="24"/>
        </w:rPr>
        <w:t>Income eligibility is determined on a monthly basis. M</w:t>
      </w:r>
      <w:r w:rsidR="00F03E31">
        <w:rPr>
          <w:rFonts w:ascii="Arial" w:hAnsi="Arial" w:cs="Arial"/>
          <w:szCs w:val="24"/>
        </w:rPr>
        <w:t>edicaid disregards (does not count)</w:t>
      </w:r>
      <w:r w:rsidR="00220059">
        <w:rPr>
          <w:rFonts w:ascii="Arial" w:hAnsi="Arial" w:cs="Arial"/>
          <w:szCs w:val="24"/>
        </w:rPr>
        <w:t xml:space="preserve"> the first $20</w:t>
      </w:r>
      <w:r w:rsidR="00993F5B">
        <w:rPr>
          <w:rFonts w:ascii="Arial" w:hAnsi="Arial" w:cs="Arial"/>
          <w:szCs w:val="24"/>
        </w:rPr>
        <w:t>/month</w:t>
      </w:r>
      <w:r w:rsidR="00220059">
        <w:rPr>
          <w:rFonts w:ascii="Arial" w:hAnsi="Arial" w:cs="Arial"/>
          <w:szCs w:val="24"/>
        </w:rPr>
        <w:t xml:space="preserve"> of most types of income.  </w:t>
      </w:r>
      <w:r w:rsidR="00220059" w:rsidRPr="00F03E31">
        <w:rPr>
          <w:rFonts w:ascii="Arial" w:hAnsi="Arial" w:cs="Arial"/>
          <w:b/>
          <w:szCs w:val="24"/>
        </w:rPr>
        <w:t>The</w:t>
      </w:r>
      <w:r w:rsidR="00A80623">
        <w:rPr>
          <w:rFonts w:ascii="Arial" w:hAnsi="Arial" w:cs="Arial"/>
          <w:b/>
          <w:szCs w:val="24"/>
        </w:rPr>
        <w:t xml:space="preserve"> income</w:t>
      </w:r>
      <w:r w:rsidR="00220059" w:rsidRPr="00F03E31">
        <w:rPr>
          <w:rFonts w:ascii="Arial" w:hAnsi="Arial" w:cs="Arial"/>
          <w:b/>
          <w:szCs w:val="24"/>
        </w:rPr>
        <w:t xml:space="preserve"> figures </w:t>
      </w:r>
      <w:r w:rsidR="00220059" w:rsidRPr="00EF7B37">
        <w:rPr>
          <w:rFonts w:ascii="Arial" w:hAnsi="Arial" w:cs="Arial"/>
          <w:b/>
          <w:szCs w:val="24"/>
        </w:rPr>
        <w:t>include</w:t>
      </w:r>
      <w:r w:rsidR="00220059" w:rsidRPr="00F03E31">
        <w:rPr>
          <w:rFonts w:ascii="Arial" w:hAnsi="Arial" w:cs="Arial"/>
          <w:b/>
          <w:szCs w:val="24"/>
        </w:rPr>
        <w:t xml:space="preserve"> the $20 disregard</w:t>
      </w:r>
      <w:r w:rsidR="00220059">
        <w:rPr>
          <w:rFonts w:ascii="Arial" w:hAnsi="Arial" w:cs="Arial"/>
          <w:szCs w:val="24"/>
        </w:rPr>
        <w:t>.</w:t>
      </w:r>
      <w:r w:rsidR="00F03E31">
        <w:rPr>
          <w:rFonts w:ascii="Arial" w:hAnsi="Arial" w:cs="Arial"/>
          <w:szCs w:val="24"/>
        </w:rPr>
        <w:t xml:space="preserve">  </w:t>
      </w:r>
      <w:r w:rsidR="00220059" w:rsidRPr="00116572">
        <w:rPr>
          <w:rFonts w:ascii="Arial" w:hAnsi="Arial" w:cs="Arial"/>
          <w:szCs w:val="24"/>
        </w:rPr>
        <w:t xml:space="preserve">The income amounts increase </w:t>
      </w:r>
      <w:r w:rsidR="00F03E31">
        <w:rPr>
          <w:rFonts w:ascii="Arial" w:hAnsi="Arial" w:cs="Arial"/>
          <w:szCs w:val="24"/>
        </w:rPr>
        <w:t>each</w:t>
      </w:r>
      <w:r w:rsidR="00220059" w:rsidRPr="00116572">
        <w:rPr>
          <w:rFonts w:ascii="Arial" w:hAnsi="Arial" w:cs="Arial"/>
          <w:szCs w:val="24"/>
        </w:rPr>
        <w:t xml:space="preserve"> April.</w:t>
      </w:r>
    </w:p>
    <w:p w:rsidR="00FA5449" w:rsidRDefault="00993F5B" w:rsidP="00FA5449">
      <w:pPr>
        <w:widowControl w:val="0"/>
        <w:jc w:val="both"/>
        <w:rPr>
          <w:rFonts w:ascii="Arial" w:hAnsi="Arial" w:cs="Arial"/>
          <w:b/>
          <w:bCs/>
          <w:color w:val="000000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Cs w:val="24"/>
          <w:u w:val="single"/>
        </w:rPr>
        <w:t xml:space="preserve">Are </w:t>
      </w:r>
      <w:r w:rsidR="004E2B44">
        <w:rPr>
          <w:rFonts w:ascii="Arial" w:hAnsi="Arial" w:cs="Arial"/>
          <w:b/>
          <w:bCs/>
          <w:color w:val="000000"/>
          <w:szCs w:val="24"/>
          <w:u w:val="single"/>
        </w:rPr>
        <w:t xml:space="preserve">All the Income and Resources You Have </w:t>
      </w:r>
      <w:r>
        <w:rPr>
          <w:rFonts w:ascii="Arial" w:hAnsi="Arial" w:cs="Arial"/>
          <w:b/>
          <w:bCs/>
          <w:color w:val="000000"/>
          <w:szCs w:val="24"/>
          <w:u w:val="single"/>
        </w:rPr>
        <w:t>Counted</w:t>
      </w:r>
      <w:r w:rsidR="00FA5449" w:rsidRPr="00220059">
        <w:rPr>
          <w:rFonts w:ascii="Arial" w:hAnsi="Arial" w:cs="Arial"/>
          <w:b/>
          <w:bCs/>
          <w:color w:val="000000"/>
          <w:szCs w:val="24"/>
          <w:u w:val="single"/>
        </w:rPr>
        <w:t xml:space="preserve"> in Determining Eligibility</w:t>
      </w:r>
      <w:r>
        <w:rPr>
          <w:rFonts w:ascii="Arial" w:hAnsi="Arial" w:cs="Arial"/>
          <w:b/>
          <w:bCs/>
          <w:color w:val="000000"/>
          <w:szCs w:val="24"/>
          <w:u w:val="single"/>
        </w:rPr>
        <w:t>?</w:t>
      </w:r>
      <w:r w:rsidR="00FA5449" w:rsidRPr="00220059">
        <w:rPr>
          <w:rFonts w:ascii="Arial" w:hAnsi="Arial" w:cs="Arial"/>
          <w:b/>
          <w:bCs/>
          <w:color w:val="000000"/>
          <w:szCs w:val="24"/>
          <w:u w:val="single"/>
        </w:rPr>
        <w:t xml:space="preserve"> </w:t>
      </w:r>
    </w:p>
    <w:p w:rsidR="00993F5B" w:rsidRDefault="00993F5B" w:rsidP="00FA5449">
      <w:pPr>
        <w:widowControl w:val="0"/>
        <w:jc w:val="both"/>
        <w:rPr>
          <w:rFonts w:ascii="Arial" w:hAnsi="Arial" w:cs="Arial"/>
          <w:b/>
          <w:bCs/>
          <w:color w:val="000000"/>
          <w:szCs w:val="24"/>
          <w:u w:val="single"/>
        </w:rPr>
      </w:pPr>
    </w:p>
    <w:p w:rsidR="001F1BFB" w:rsidRPr="00234101" w:rsidRDefault="004E2B44" w:rsidP="001F1BFB">
      <w:pPr>
        <w:widowControl w:val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bCs/>
          <w:color w:val="000000"/>
          <w:szCs w:val="24"/>
        </w:rPr>
        <w:t xml:space="preserve">No, several </w:t>
      </w:r>
      <w:r>
        <w:rPr>
          <w:rFonts w:ascii="Arial" w:hAnsi="Arial"/>
        </w:rPr>
        <w:t>types of income and resources are not counted</w:t>
      </w:r>
      <w:r w:rsidR="002D103F">
        <w:rPr>
          <w:rFonts w:ascii="Arial" w:hAnsi="Arial"/>
        </w:rPr>
        <w:t>.</w:t>
      </w:r>
      <w:r>
        <w:rPr>
          <w:rFonts w:ascii="Arial" w:hAnsi="Arial"/>
        </w:rPr>
        <w:t xml:space="preserve">  </w:t>
      </w:r>
      <w:r w:rsidR="001F1BFB">
        <w:rPr>
          <w:rFonts w:ascii="Arial" w:hAnsi="Arial"/>
        </w:rPr>
        <w:t>I</w:t>
      </w:r>
      <w:r w:rsidR="001F1BFB" w:rsidRPr="00234101">
        <w:rPr>
          <w:rFonts w:ascii="Arial" w:hAnsi="Arial"/>
          <w:b/>
        </w:rPr>
        <w:t>ncome</w:t>
      </w:r>
      <w:r w:rsidR="001F1BFB">
        <w:rPr>
          <w:rFonts w:ascii="Arial" w:hAnsi="Arial"/>
        </w:rPr>
        <w:t xml:space="preserve"> that is disregarded </w:t>
      </w:r>
      <w:r w:rsidR="00CC1E1A">
        <w:rPr>
          <w:rFonts w:ascii="Arial" w:hAnsi="Arial"/>
          <w:i/>
        </w:rPr>
        <w:t>include</w:t>
      </w:r>
      <w:r w:rsidR="001F1BFB">
        <w:rPr>
          <w:rFonts w:ascii="Arial" w:hAnsi="Arial"/>
          <w:i/>
        </w:rPr>
        <w:t>s</w:t>
      </w:r>
      <w:r w:rsidR="00CC1E1A">
        <w:rPr>
          <w:rFonts w:ascii="Arial" w:hAnsi="Arial"/>
        </w:rPr>
        <w:t>:</w:t>
      </w:r>
      <w:r w:rsidR="00CC1E1A">
        <w:rPr>
          <w:rFonts w:ascii="Arial" w:hAnsi="Arial"/>
          <w:i/>
        </w:rPr>
        <w:t xml:space="preserve"> </w:t>
      </w:r>
      <w:r>
        <w:rPr>
          <w:rFonts w:ascii="Arial" w:hAnsi="Arial"/>
        </w:rPr>
        <w:t xml:space="preserve"> </w:t>
      </w:r>
      <w:r w:rsidR="001F1BFB">
        <w:rPr>
          <w:rFonts w:ascii="Arial" w:hAnsi="Arial"/>
        </w:rPr>
        <w:t>t</w:t>
      </w:r>
      <w:r w:rsidR="00993F5B">
        <w:rPr>
          <w:rFonts w:ascii="Arial" w:hAnsi="Arial" w:cs="Arial"/>
          <w:bCs/>
          <w:color w:val="000000"/>
          <w:szCs w:val="24"/>
        </w:rPr>
        <w:t>he first $20</w:t>
      </w:r>
      <w:r>
        <w:rPr>
          <w:rFonts w:ascii="Arial" w:hAnsi="Arial" w:cs="Arial"/>
          <w:bCs/>
          <w:color w:val="000000"/>
          <w:szCs w:val="24"/>
        </w:rPr>
        <w:t xml:space="preserve"> </w:t>
      </w:r>
      <w:r w:rsidR="002D103F">
        <w:rPr>
          <w:rFonts w:ascii="Arial" w:hAnsi="Arial" w:cs="Arial"/>
          <w:bCs/>
          <w:color w:val="000000"/>
          <w:szCs w:val="24"/>
        </w:rPr>
        <w:t xml:space="preserve">per month; </w:t>
      </w:r>
      <w:r>
        <w:rPr>
          <w:rFonts w:ascii="Arial" w:hAnsi="Arial" w:cs="Arial"/>
          <w:bCs/>
          <w:color w:val="000000"/>
          <w:szCs w:val="24"/>
        </w:rPr>
        <w:t xml:space="preserve">$65 plus ½ of </w:t>
      </w:r>
      <w:r w:rsidR="00CC1E1A">
        <w:rPr>
          <w:rFonts w:ascii="Arial" w:hAnsi="Arial" w:cs="Arial"/>
          <w:bCs/>
          <w:color w:val="000000"/>
          <w:szCs w:val="24"/>
        </w:rPr>
        <w:t>m</w:t>
      </w:r>
      <w:r>
        <w:rPr>
          <w:rFonts w:ascii="Arial" w:hAnsi="Arial" w:cs="Arial"/>
          <w:bCs/>
          <w:color w:val="000000"/>
          <w:szCs w:val="24"/>
        </w:rPr>
        <w:t>onthly</w:t>
      </w:r>
      <w:r w:rsidR="001F3746">
        <w:rPr>
          <w:rFonts w:ascii="Arial" w:hAnsi="Arial" w:cs="Arial"/>
          <w:bCs/>
          <w:color w:val="000000"/>
          <w:szCs w:val="24"/>
        </w:rPr>
        <w:t xml:space="preserve"> </w:t>
      </w:r>
      <w:r>
        <w:rPr>
          <w:rFonts w:ascii="Arial" w:hAnsi="Arial" w:cs="Arial"/>
          <w:bCs/>
          <w:color w:val="000000"/>
          <w:szCs w:val="24"/>
        </w:rPr>
        <w:t>earnings</w:t>
      </w:r>
      <w:r w:rsidR="00CC1E1A">
        <w:rPr>
          <w:rFonts w:ascii="Arial" w:hAnsi="Arial" w:cs="Arial"/>
          <w:bCs/>
          <w:color w:val="000000"/>
          <w:szCs w:val="24"/>
        </w:rPr>
        <w:t>; and certain types of income available to Native Americans.  On the other hand,</w:t>
      </w:r>
      <w:r>
        <w:rPr>
          <w:rFonts w:ascii="Arial" w:hAnsi="Arial" w:cs="Arial"/>
          <w:bCs/>
          <w:color w:val="000000"/>
          <w:szCs w:val="24"/>
        </w:rPr>
        <w:t xml:space="preserve"> </w:t>
      </w:r>
      <w:r w:rsidR="00262BD8">
        <w:rPr>
          <w:rFonts w:ascii="Arial" w:hAnsi="Arial" w:cs="Arial"/>
          <w:bCs/>
          <w:color w:val="000000"/>
          <w:szCs w:val="24"/>
        </w:rPr>
        <w:t xml:space="preserve">if </w:t>
      </w:r>
      <w:r w:rsidR="001F1BFB">
        <w:rPr>
          <w:rFonts w:ascii="Arial" w:hAnsi="Arial" w:cs="Arial"/>
          <w:bCs/>
          <w:color w:val="000000"/>
          <w:szCs w:val="24"/>
        </w:rPr>
        <w:t>other people help you with your</w:t>
      </w:r>
      <w:r w:rsidR="00262BD8">
        <w:rPr>
          <w:rFonts w:ascii="Arial" w:hAnsi="Arial" w:cs="Arial"/>
          <w:bCs/>
          <w:color w:val="000000"/>
          <w:szCs w:val="24"/>
        </w:rPr>
        <w:t xml:space="preserve"> food or </w:t>
      </w:r>
      <w:r w:rsidR="001F1BFB">
        <w:rPr>
          <w:rFonts w:ascii="Arial" w:hAnsi="Arial" w:cs="Arial"/>
          <w:bCs/>
          <w:color w:val="000000"/>
          <w:szCs w:val="24"/>
        </w:rPr>
        <w:t xml:space="preserve">housing costs, that help </w:t>
      </w:r>
      <w:r w:rsidR="00262BD8">
        <w:rPr>
          <w:rFonts w:ascii="Arial" w:hAnsi="Arial" w:cs="Arial"/>
          <w:bCs/>
          <w:color w:val="000000"/>
          <w:szCs w:val="24"/>
        </w:rPr>
        <w:t xml:space="preserve">can </w:t>
      </w:r>
      <w:r w:rsidR="001F1BFB">
        <w:rPr>
          <w:rFonts w:ascii="Arial" w:hAnsi="Arial" w:cs="Arial"/>
          <w:bCs/>
          <w:color w:val="000000"/>
          <w:szCs w:val="24"/>
        </w:rPr>
        <w:t xml:space="preserve">actually </w:t>
      </w:r>
      <w:r w:rsidR="00262BD8">
        <w:rPr>
          <w:rFonts w:ascii="Arial" w:hAnsi="Arial" w:cs="Arial"/>
          <w:bCs/>
          <w:color w:val="000000"/>
          <w:szCs w:val="24"/>
        </w:rPr>
        <w:t xml:space="preserve">be counted as </w:t>
      </w:r>
      <w:r w:rsidR="001F1BFB">
        <w:rPr>
          <w:rFonts w:ascii="Arial" w:hAnsi="Arial" w:cs="Arial"/>
          <w:bCs/>
          <w:color w:val="000000"/>
          <w:szCs w:val="24"/>
        </w:rPr>
        <w:t xml:space="preserve">income to you.  </w:t>
      </w:r>
      <w:r w:rsidR="001F3746" w:rsidRPr="00D03CF4">
        <w:rPr>
          <w:rFonts w:ascii="Arial" w:hAnsi="Arial" w:cs="Arial"/>
          <w:i/>
          <w:szCs w:val="24"/>
        </w:rPr>
        <w:t>Examples</w:t>
      </w:r>
      <w:r w:rsidR="001F1BFB">
        <w:rPr>
          <w:rFonts w:ascii="Arial" w:hAnsi="Arial" w:cs="Arial"/>
          <w:szCs w:val="24"/>
        </w:rPr>
        <w:t xml:space="preserve"> of </w:t>
      </w:r>
      <w:r w:rsidR="001F1BFB" w:rsidRPr="00234101">
        <w:rPr>
          <w:rFonts w:ascii="Arial" w:hAnsi="Arial" w:cs="Arial"/>
          <w:b/>
          <w:szCs w:val="24"/>
        </w:rPr>
        <w:t>resources</w:t>
      </w:r>
      <w:r w:rsidR="001F1BFB">
        <w:rPr>
          <w:rFonts w:ascii="Arial" w:hAnsi="Arial" w:cs="Arial"/>
          <w:szCs w:val="24"/>
        </w:rPr>
        <w:t xml:space="preserve"> that are not counted </w:t>
      </w:r>
      <w:r w:rsidR="001F1BFB" w:rsidRPr="001F1BFB">
        <w:rPr>
          <w:rFonts w:ascii="Arial" w:hAnsi="Arial" w:cs="Arial"/>
          <w:i/>
          <w:szCs w:val="24"/>
        </w:rPr>
        <w:t>include</w:t>
      </w:r>
      <w:r w:rsidR="001F1BFB">
        <w:rPr>
          <w:rFonts w:ascii="Arial" w:hAnsi="Arial" w:cs="Arial"/>
          <w:szCs w:val="24"/>
        </w:rPr>
        <w:t>: your home; a motor vehicle; personal items (e.g., jewelry and household goods</w:t>
      </w:r>
      <w:r w:rsidR="00D03CF4">
        <w:rPr>
          <w:rFonts w:ascii="Arial" w:hAnsi="Arial" w:cs="Arial"/>
          <w:szCs w:val="24"/>
        </w:rPr>
        <w:t>)</w:t>
      </w:r>
      <w:r w:rsidR="001F1BFB">
        <w:rPr>
          <w:rFonts w:ascii="Arial" w:hAnsi="Arial" w:cs="Arial"/>
          <w:szCs w:val="24"/>
        </w:rPr>
        <w:t>; a burial space</w:t>
      </w:r>
      <w:r w:rsidR="00D03CF4">
        <w:rPr>
          <w:rFonts w:ascii="Arial" w:hAnsi="Arial" w:cs="Arial"/>
          <w:szCs w:val="24"/>
        </w:rPr>
        <w:t>;</w:t>
      </w:r>
      <w:r w:rsidR="001F1BFB">
        <w:rPr>
          <w:rFonts w:ascii="Arial" w:hAnsi="Arial" w:cs="Arial"/>
          <w:szCs w:val="24"/>
        </w:rPr>
        <w:t xml:space="preserve"> and up to $1,500</w:t>
      </w:r>
      <w:r w:rsidR="002D103F">
        <w:rPr>
          <w:rFonts w:ascii="Arial" w:hAnsi="Arial" w:cs="Arial"/>
          <w:szCs w:val="24"/>
        </w:rPr>
        <w:t xml:space="preserve"> per person</w:t>
      </w:r>
      <w:r w:rsidR="001F1BFB">
        <w:rPr>
          <w:rFonts w:ascii="Arial" w:hAnsi="Arial" w:cs="Arial"/>
          <w:szCs w:val="24"/>
        </w:rPr>
        <w:t xml:space="preserve"> for funeral expenses.</w:t>
      </w:r>
      <w:r w:rsidR="00234101">
        <w:rPr>
          <w:rFonts w:ascii="Arial" w:hAnsi="Arial" w:cs="Arial"/>
          <w:szCs w:val="24"/>
        </w:rPr>
        <w:t xml:space="preserve">  </w:t>
      </w:r>
    </w:p>
    <w:p w:rsidR="001F1BFB" w:rsidRDefault="001F1BFB" w:rsidP="00220059">
      <w:pPr>
        <w:pStyle w:val="BodyTextIndent"/>
        <w:widowControl/>
        <w:ind w:left="0"/>
        <w:jc w:val="both"/>
        <w:rPr>
          <w:rFonts w:ascii="Arial" w:hAnsi="Arial" w:cs="Arial"/>
          <w:szCs w:val="24"/>
        </w:rPr>
      </w:pPr>
    </w:p>
    <w:p w:rsidR="00220059" w:rsidRDefault="00234101" w:rsidP="00220059">
      <w:pPr>
        <w:pStyle w:val="BodyTextIndent"/>
        <w:widowControl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</w:t>
      </w:r>
      <w:r w:rsidR="00220059" w:rsidRPr="00116572">
        <w:rPr>
          <w:rFonts w:ascii="Arial" w:hAnsi="Arial" w:cs="Arial"/>
          <w:szCs w:val="24"/>
        </w:rPr>
        <w:t>ou must also meet all other Medicaid eligibility requirements.</w:t>
      </w:r>
      <w:r w:rsidR="00220059">
        <w:rPr>
          <w:rFonts w:ascii="Arial" w:hAnsi="Arial" w:cs="Arial"/>
          <w:szCs w:val="24"/>
        </w:rPr>
        <w:t xml:space="preserve">  </w:t>
      </w:r>
      <w:r w:rsidR="00220059" w:rsidRPr="00116572">
        <w:rPr>
          <w:rFonts w:ascii="Arial" w:hAnsi="Arial" w:cs="Arial"/>
          <w:szCs w:val="24"/>
        </w:rPr>
        <w:t xml:space="preserve">If you think you might be eligible, </w:t>
      </w:r>
      <w:r w:rsidR="00220059" w:rsidRPr="00234101">
        <w:rPr>
          <w:rFonts w:ascii="Arial" w:hAnsi="Arial" w:cs="Arial"/>
          <w:i/>
          <w:szCs w:val="24"/>
        </w:rPr>
        <w:t>apply as soon as possible</w:t>
      </w:r>
      <w:r>
        <w:rPr>
          <w:rFonts w:ascii="Arial" w:hAnsi="Arial" w:cs="Arial"/>
          <w:szCs w:val="24"/>
        </w:rPr>
        <w:t xml:space="preserve"> (see below); don’t </w:t>
      </w:r>
      <w:r w:rsidR="00220059" w:rsidRPr="00116572">
        <w:rPr>
          <w:rFonts w:ascii="Arial" w:hAnsi="Arial" w:cs="Arial"/>
          <w:szCs w:val="24"/>
        </w:rPr>
        <w:t>wait until you are sick or get hurt</w:t>
      </w:r>
      <w:r>
        <w:rPr>
          <w:rFonts w:ascii="Arial" w:hAnsi="Arial" w:cs="Arial"/>
          <w:szCs w:val="24"/>
        </w:rPr>
        <w:t xml:space="preserve">.  One reason is that </w:t>
      </w:r>
      <w:r w:rsidRPr="00234101">
        <w:rPr>
          <w:rFonts w:ascii="Arial" w:hAnsi="Arial" w:cs="Arial"/>
          <w:i/>
          <w:szCs w:val="24"/>
        </w:rPr>
        <w:t>QMB</w:t>
      </w:r>
      <w:r>
        <w:rPr>
          <w:rFonts w:ascii="Arial" w:hAnsi="Arial" w:cs="Arial"/>
          <w:szCs w:val="24"/>
        </w:rPr>
        <w:t xml:space="preserve"> cov</w:t>
      </w:r>
      <w:r w:rsidR="00220059" w:rsidRPr="00116572">
        <w:rPr>
          <w:rFonts w:ascii="Arial" w:hAnsi="Arial" w:cs="Arial"/>
          <w:szCs w:val="24"/>
        </w:rPr>
        <w:t>erage</w:t>
      </w:r>
      <w:r>
        <w:rPr>
          <w:rFonts w:ascii="Arial" w:hAnsi="Arial" w:cs="Arial"/>
          <w:szCs w:val="24"/>
        </w:rPr>
        <w:t xml:space="preserve"> doesn’t start until the month</w:t>
      </w:r>
      <w:r w:rsidR="00220059" w:rsidRPr="00116572">
        <w:rPr>
          <w:rFonts w:ascii="Arial" w:hAnsi="Arial" w:cs="Arial"/>
          <w:szCs w:val="24"/>
        </w:rPr>
        <w:t xml:space="preserve"> </w:t>
      </w:r>
      <w:r w:rsidR="00220059" w:rsidRPr="00116572">
        <w:rPr>
          <w:rFonts w:ascii="Arial" w:hAnsi="Arial" w:cs="Arial"/>
          <w:i/>
          <w:iCs/>
          <w:szCs w:val="24"/>
        </w:rPr>
        <w:t>after</w:t>
      </w:r>
      <w:r w:rsidR="00220059" w:rsidRPr="00116572">
        <w:rPr>
          <w:rFonts w:ascii="Arial" w:hAnsi="Arial" w:cs="Arial"/>
          <w:szCs w:val="24"/>
        </w:rPr>
        <w:t xml:space="preserve"> your application is approved. </w:t>
      </w:r>
    </w:p>
    <w:p w:rsidR="002439E0" w:rsidRPr="00116572" w:rsidRDefault="002439E0" w:rsidP="002439E0">
      <w:pPr>
        <w:widowControl w:val="0"/>
        <w:jc w:val="both"/>
        <w:rPr>
          <w:rFonts w:ascii="Arial" w:hAnsi="Arial" w:cs="Arial"/>
        </w:rPr>
      </w:pPr>
    </w:p>
    <w:p w:rsidR="002439E0" w:rsidRPr="00FA5449" w:rsidRDefault="00FA5449" w:rsidP="00FA5449">
      <w:pPr>
        <w:widowControl w:val="0"/>
        <w:jc w:val="both"/>
        <w:outlineLvl w:val="0"/>
        <w:rPr>
          <w:rFonts w:ascii="Arial" w:hAnsi="Arial"/>
          <w:b/>
        </w:rPr>
      </w:pPr>
      <w:r w:rsidRPr="007135C0">
        <w:rPr>
          <w:rFonts w:ascii="Arial" w:hAnsi="Arial"/>
          <w:b/>
          <w:u w:val="single"/>
        </w:rPr>
        <w:t xml:space="preserve">What is </w:t>
      </w:r>
      <w:r w:rsidR="00234101">
        <w:rPr>
          <w:rFonts w:ascii="Arial" w:hAnsi="Arial"/>
          <w:b/>
          <w:u w:val="single"/>
        </w:rPr>
        <w:t>“Extra Help”?</w:t>
      </w:r>
    </w:p>
    <w:p w:rsidR="00FA5449" w:rsidRDefault="00FA5449" w:rsidP="002439E0">
      <w:pPr>
        <w:widowControl w:val="0"/>
        <w:jc w:val="both"/>
        <w:rPr>
          <w:rFonts w:ascii="Arial" w:hAnsi="Arial"/>
        </w:rPr>
      </w:pPr>
    </w:p>
    <w:p w:rsidR="003E59C4" w:rsidRPr="00A666A6" w:rsidRDefault="00234101" w:rsidP="003E59C4">
      <w:pPr>
        <w:widowControl w:val="0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Extra Help, also known as the </w:t>
      </w:r>
      <w:r w:rsidR="00220059">
        <w:rPr>
          <w:rFonts w:ascii="Arial" w:hAnsi="Arial"/>
        </w:rPr>
        <w:t xml:space="preserve">Low Income Subsidy </w:t>
      </w:r>
      <w:r w:rsidR="0038268D">
        <w:rPr>
          <w:rFonts w:ascii="Arial" w:hAnsi="Arial"/>
        </w:rPr>
        <w:t>(LIS),</w:t>
      </w:r>
      <w:r w:rsidR="003E59C4">
        <w:rPr>
          <w:rFonts w:ascii="Arial" w:hAnsi="Arial"/>
        </w:rPr>
        <w:t xml:space="preserve"> pro</w:t>
      </w:r>
      <w:r w:rsidR="00220059">
        <w:rPr>
          <w:rFonts w:ascii="Arial" w:hAnsi="Arial"/>
        </w:rPr>
        <w:t xml:space="preserve">vides financial </w:t>
      </w:r>
      <w:r w:rsidR="003E59C4">
        <w:rPr>
          <w:rFonts w:ascii="Arial" w:hAnsi="Arial"/>
        </w:rPr>
        <w:t>help</w:t>
      </w:r>
      <w:r w:rsidR="00220059">
        <w:rPr>
          <w:rFonts w:ascii="Arial" w:hAnsi="Arial"/>
        </w:rPr>
        <w:t xml:space="preserve"> </w:t>
      </w:r>
      <w:r w:rsidR="00716FB8">
        <w:rPr>
          <w:rFonts w:ascii="Arial" w:hAnsi="Arial"/>
        </w:rPr>
        <w:t>with</w:t>
      </w:r>
      <w:r w:rsidR="003E59C4">
        <w:rPr>
          <w:rFonts w:ascii="Arial" w:hAnsi="Arial"/>
        </w:rPr>
        <w:t xml:space="preserve"> </w:t>
      </w:r>
      <w:r w:rsidR="00220059">
        <w:rPr>
          <w:rFonts w:ascii="Arial" w:hAnsi="Arial"/>
        </w:rPr>
        <w:t xml:space="preserve">your </w:t>
      </w:r>
      <w:r w:rsidR="003E59C4">
        <w:rPr>
          <w:rFonts w:ascii="Arial" w:hAnsi="Arial"/>
        </w:rPr>
        <w:t xml:space="preserve">Medicare </w:t>
      </w:r>
      <w:r w:rsidR="00220059">
        <w:rPr>
          <w:rFonts w:ascii="Arial" w:hAnsi="Arial"/>
        </w:rPr>
        <w:t xml:space="preserve">prescription drug </w:t>
      </w:r>
      <w:r w:rsidR="00716FB8">
        <w:rPr>
          <w:rFonts w:ascii="Arial" w:hAnsi="Arial"/>
        </w:rPr>
        <w:t xml:space="preserve">plan </w:t>
      </w:r>
      <w:r w:rsidR="00220059">
        <w:rPr>
          <w:rFonts w:ascii="Arial" w:hAnsi="Arial"/>
        </w:rPr>
        <w:t>costs</w:t>
      </w:r>
      <w:r w:rsidR="00716FB8">
        <w:rPr>
          <w:rFonts w:ascii="Arial" w:hAnsi="Arial"/>
        </w:rPr>
        <w:t xml:space="preserve"> (Medicare’s drug coverage is available only from private plans)</w:t>
      </w:r>
      <w:r w:rsidR="00220059">
        <w:rPr>
          <w:rFonts w:ascii="Arial" w:hAnsi="Arial"/>
        </w:rPr>
        <w:t>.</w:t>
      </w:r>
      <w:r w:rsidR="003E59C4">
        <w:rPr>
          <w:rFonts w:ascii="Arial" w:hAnsi="Arial"/>
        </w:rPr>
        <w:t xml:space="preserve">  Depending on the amount of your countable income and resources, </w:t>
      </w:r>
      <w:r w:rsidR="00716FB8">
        <w:rPr>
          <w:rFonts w:ascii="Arial" w:hAnsi="Arial"/>
        </w:rPr>
        <w:t>it will cover all or part of your plan’s premium, deductible, “donut hole,” and co-pay costs.</w:t>
      </w:r>
      <w:r w:rsidR="00A666A6">
        <w:rPr>
          <w:rFonts w:ascii="Arial" w:hAnsi="Arial"/>
        </w:rPr>
        <w:t xml:space="preserve">  There are different levels of help.  </w:t>
      </w:r>
    </w:p>
    <w:p w:rsidR="003E59C4" w:rsidRDefault="003E59C4" w:rsidP="003E59C4">
      <w:pPr>
        <w:widowControl w:val="0"/>
        <w:jc w:val="both"/>
        <w:rPr>
          <w:rFonts w:ascii="Arial" w:hAnsi="Arial"/>
        </w:rPr>
      </w:pPr>
    </w:p>
    <w:p w:rsidR="00116572" w:rsidRDefault="00445249" w:rsidP="00A666A6">
      <w:pPr>
        <w:widowControl w:val="0"/>
        <w:jc w:val="both"/>
      </w:pPr>
      <w:r w:rsidRPr="003E59C4">
        <w:rPr>
          <w:rFonts w:ascii="Arial" w:hAnsi="Arial"/>
          <w:b/>
        </w:rPr>
        <w:t xml:space="preserve">If you qualify for one of the Medicare Savings Programs, you </w:t>
      </w:r>
      <w:r w:rsidR="00220059" w:rsidRPr="003E59C4">
        <w:rPr>
          <w:rFonts w:ascii="Arial" w:hAnsi="Arial"/>
          <w:b/>
        </w:rPr>
        <w:t xml:space="preserve">automatically </w:t>
      </w:r>
      <w:r w:rsidR="003E59C4" w:rsidRPr="003E59C4">
        <w:rPr>
          <w:rFonts w:ascii="Arial" w:hAnsi="Arial"/>
          <w:b/>
        </w:rPr>
        <w:t>qualify for Extra Help</w:t>
      </w:r>
      <w:r w:rsidR="00A666A6">
        <w:rPr>
          <w:rFonts w:ascii="Arial" w:hAnsi="Arial"/>
        </w:rPr>
        <w:t xml:space="preserve">, with </w:t>
      </w:r>
      <w:r w:rsidR="006F3300">
        <w:rPr>
          <w:rFonts w:ascii="Arial" w:hAnsi="Arial"/>
        </w:rPr>
        <w:t xml:space="preserve">a </w:t>
      </w:r>
      <w:r w:rsidR="00A666A6">
        <w:rPr>
          <w:rFonts w:ascii="Arial" w:hAnsi="Arial"/>
        </w:rPr>
        <w:t xml:space="preserve">high level of help.  </w:t>
      </w:r>
      <w:r w:rsidR="006F3300">
        <w:rPr>
          <w:rFonts w:ascii="Arial" w:hAnsi="Arial"/>
        </w:rPr>
        <w:t>If</w:t>
      </w:r>
      <w:r w:rsidR="003E59C4">
        <w:rPr>
          <w:rFonts w:ascii="Arial" w:hAnsi="Arial"/>
        </w:rPr>
        <w:t xml:space="preserve"> your </w:t>
      </w:r>
      <w:r w:rsidR="006F3300">
        <w:rPr>
          <w:rFonts w:ascii="Arial" w:hAnsi="Arial"/>
        </w:rPr>
        <w:t xml:space="preserve">countable </w:t>
      </w:r>
      <w:r w:rsidR="003E59C4">
        <w:rPr>
          <w:rFonts w:ascii="Arial" w:hAnsi="Arial"/>
        </w:rPr>
        <w:t xml:space="preserve">income </w:t>
      </w:r>
      <w:r w:rsidR="003E59C4" w:rsidRPr="003E59C4">
        <w:rPr>
          <w:rFonts w:ascii="Arial" w:hAnsi="Arial"/>
          <w:i/>
        </w:rPr>
        <w:t>or</w:t>
      </w:r>
      <w:r w:rsidR="003E59C4">
        <w:rPr>
          <w:rFonts w:ascii="Arial" w:hAnsi="Arial"/>
        </w:rPr>
        <w:t xml:space="preserve"> resources are too high to qualify for a Medicare Savings Program, you may still qualify for </w:t>
      </w:r>
      <w:r w:rsidR="00A666A6">
        <w:rPr>
          <w:rFonts w:ascii="Arial" w:hAnsi="Arial"/>
        </w:rPr>
        <w:t xml:space="preserve">Extra Help, </w:t>
      </w:r>
      <w:r w:rsidR="00053DF2">
        <w:rPr>
          <w:rFonts w:ascii="Arial" w:hAnsi="Arial"/>
        </w:rPr>
        <w:t xml:space="preserve">but </w:t>
      </w:r>
      <w:r w:rsidR="006F3300">
        <w:rPr>
          <w:rFonts w:ascii="Arial" w:hAnsi="Arial"/>
        </w:rPr>
        <w:t>with a lesser amount of help</w:t>
      </w:r>
      <w:r w:rsidR="00053DF2">
        <w:rPr>
          <w:rFonts w:ascii="Arial" w:hAnsi="Arial"/>
        </w:rPr>
        <w:t>.</w:t>
      </w:r>
      <w:r w:rsidR="003E59C4">
        <w:rPr>
          <w:rFonts w:ascii="Arial" w:hAnsi="Arial"/>
        </w:rPr>
        <w:t xml:space="preserve">  The </w:t>
      </w:r>
      <w:r w:rsidR="00053DF2" w:rsidRPr="00D03CF4">
        <w:rPr>
          <w:rFonts w:ascii="Arial" w:hAnsi="Arial"/>
          <w:i/>
        </w:rPr>
        <w:t>maximum</w:t>
      </w:r>
      <w:r w:rsidR="00053DF2">
        <w:rPr>
          <w:rFonts w:ascii="Arial" w:hAnsi="Arial"/>
        </w:rPr>
        <w:t xml:space="preserve"> </w:t>
      </w:r>
      <w:r w:rsidR="006F3300">
        <w:rPr>
          <w:rFonts w:ascii="Arial" w:hAnsi="Arial"/>
        </w:rPr>
        <w:t>financial eligibility</w:t>
      </w:r>
      <w:r w:rsidR="00053DF2">
        <w:rPr>
          <w:rFonts w:ascii="Arial" w:hAnsi="Arial"/>
        </w:rPr>
        <w:t xml:space="preserve"> </w:t>
      </w:r>
      <w:r w:rsidR="003E59C4">
        <w:rPr>
          <w:rFonts w:ascii="Arial" w:hAnsi="Arial"/>
        </w:rPr>
        <w:t xml:space="preserve">  </w:t>
      </w:r>
    </w:p>
    <w:sectPr w:rsidR="00116572" w:rsidSect="002439E0">
      <w:pgSz w:w="15840" w:h="12240" w:orient="landscape"/>
      <w:pgMar w:top="1008" w:right="1008" w:bottom="1008" w:left="1008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5A3" w:rsidRDefault="005935A3" w:rsidP="00DC4648">
      <w:r>
        <w:separator/>
      </w:r>
    </w:p>
  </w:endnote>
  <w:endnote w:type="continuationSeparator" w:id="0">
    <w:p w:rsidR="005935A3" w:rsidRDefault="005935A3" w:rsidP="00DC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sterBodoni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5A3" w:rsidRDefault="005935A3" w:rsidP="00DC4648">
      <w:r>
        <w:separator/>
      </w:r>
    </w:p>
  </w:footnote>
  <w:footnote w:type="continuationSeparator" w:id="0">
    <w:p w:rsidR="005935A3" w:rsidRDefault="005935A3" w:rsidP="00DC4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FBA"/>
    <w:multiLevelType w:val="hybridMultilevel"/>
    <w:tmpl w:val="5DB418D2"/>
    <w:lvl w:ilvl="0" w:tplc="84FE9A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B5742"/>
    <w:multiLevelType w:val="hybridMultilevel"/>
    <w:tmpl w:val="279618AE"/>
    <w:lvl w:ilvl="0" w:tplc="424E28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34433"/>
    <w:multiLevelType w:val="hybridMultilevel"/>
    <w:tmpl w:val="4942C9C8"/>
    <w:lvl w:ilvl="0" w:tplc="8800CCD4">
      <w:start w:val="1"/>
      <w:numFmt w:val="bullet"/>
      <w:lvlText w:val=""/>
      <w:lvlJc w:val="left"/>
      <w:pPr>
        <w:tabs>
          <w:tab w:val="num" w:pos="677"/>
        </w:tabs>
        <w:ind w:left="677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415B5"/>
    <w:multiLevelType w:val="hybridMultilevel"/>
    <w:tmpl w:val="791EE87A"/>
    <w:lvl w:ilvl="0" w:tplc="801ADF5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D6E76"/>
    <w:multiLevelType w:val="hybridMultilevel"/>
    <w:tmpl w:val="DD12881E"/>
    <w:lvl w:ilvl="0" w:tplc="8800CCD4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E0"/>
    <w:rsid w:val="00002959"/>
    <w:rsid w:val="000239F4"/>
    <w:rsid w:val="000451AC"/>
    <w:rsid w:val="00046867"/>
    <w:rsid w:val="0005324D"/>
    <w:rsid w:val="00053DF2"/>
    <w:rsid w:val="00073816"/>
    <w:rsid w:val="000804CD"/>
    <w:rsid w:val="000815B5"/>
    <w:rsid w:val="000A4BFF"/>
    <w:rsid w:val="000B3DC2"/>
    <w:rsid w:val="000C33E4"/>
    <w:rsid w:val="000D35D9"/>
    <w:rsid w:val="00103407"/>
    <w:rsid w:val="00104CFE"/>
    <w:rsid w:val="00116572"/>
    <w:rsid w:val="00121F91"/>
    <w:rsid w:val="0014728B"/>
    <w:rsid w:val="001509A1"/>
    <w:rsid w:val="0016485C"/>
    <w:rsid w:val="00191276"/>
    <w:rsid w:val="00191991"/>
    <w:rsid w:val="00197357"/>
    <w:rsid w:val="001A7DA4"/>
    <w:rsid w:val="001B4020"/>
    <w:rsid w:val="001E5484"/>
    <w:rsid w:val="001E6426"/>
    <w:rsid w:val="001F1BFB"/>
    <w:rsid w:val="001F3746"/>
    <w:rsid w:val="00200286"/>
    <w:rsid w:val="00214CAD"/>
    <w:rsid w:val="00220059"/>
    <w:rsid w:val="00234101"/>
    <w:rsid w:val="002439E0"/>
    <w:rsid w:val="00262BD8"/>
    <w:rsid w:val="00273ABF"/>
    <w:rsid w:val="002901A5"/>
    <w:rsid w:val="002944BA"/>
    <w:rsid w:val="002A19D1"/>
    <w:rsid w:val="002B1BF0"/>
    <w:rsid w:val="002D07D4"/>
    <w:rsid w:val="002D103F"/>
    <w:rsid w:val="002D5EE0"/>
    <w:rsid w:val="002E2056"/>
    <w:rsid w:val="002E2780"/>
    <w:rsid w:val="002F11D2"/>
    <w:rsid w:val="0030147F"/>
    <w:rsid w:val="00303D14"/>
    <w:rsid w:val="00304CE3"/>
    <w:rsid w:val="00345234"/>
    <w:rsid w:val="0038268D"/>
    <w:rsid w:val="003A4D58"/>
    <w:rsid w:val="003A730E"/>
    <w:rsid w:val="003E59C4"/>
    <w:rsid w:val="003E6894"/>
    <w:rsid w:val="003F76E8"/>
    <w:rsid w:val="00417CCE"/>
    <w:rsid w:val="004239E0"/>
    <w:rsid w:val="00436211"/>
    <w:rsid w:val="00445249"/>
    <w:rsid w:val="00462A81"/>
    <w:rsid w:val="00465FB2"/>
    <w:rsid w:val="00467A7E"/>
    <w:rsid w:val="00482B0A"/>
    <w:rsid w:val="00492CF3"/>
    <w:rsid w:val="004943DF"/>
    <w:rsid w:val="004E2B44"/>
    <w:rsid w:val="004F58A6"/>
    <w:rsid w:val="00526769"/>
    <w:rsid w:val="0054274A"/>
    <w:rsid w:val="00562713"/>
    <w:rsid w:val="005634E4"/>
    <w:rsid w:val="0058283A"/>
    <w:rsid w:val="005935A3"/>
    <w:rsid w:val="005A15FD"/>
    <w:rsid w:val="005A5FBD"/>
    <w:rsid w:val="005A651B"/>
    <w:rsid w:val="005B7994"/>
    <w:rsid w:val="005D7091"/>
    <w:rsid w:val="005F0B76"/>
    <w:rsid w:val="005F4615"/>
    <w:rsid w:val="00610121"/>
    <w:rsid w:val="00631F46"/>
    <w:rsid w:val="00632655"/>
    <w:rsid w:val="00644A15"/>
    <w:rsid w:val="006455E6"/>
    <w:rsid w:val="00645C4E"/>
    <w:rsid w:val="00672690"/>
    <w:rsid w:val="00674595"/>
    <w:rsid w:val="006B777C"/>
    <w:rsid w:val="006D52C2"/>
    <w:rsid w:val="006E3482"/>
    <w:rsid w:val="006E71BA"/>
    <w:rsid w:val="006F3300"/>
    <w:rsid w:val="00706BEB"/>
    <w:rsid w:val="007135C0"/>
    <w:rsid w:val="00716FB8"/>
    <w:rsid w:val="0072658C"/>
    <w:rsid w:val="00737380"/>
    <w:rsid w:val="00741DAB"/>
    <w:rsid w:val="0074436B"/>
    <w:rsid w:val="007444C6"/>
    <w:rsid w:val="00784030"/>
    <w:rsid w:val="007B0444"/>
    <w:rsid w:val="00802FC0"/>
    <w:rsid w:val="0084498F"/>
    <w:rsid w:val="00855475"/>
    <w:rsid w:val="008A21AC"/>
    <w:rsid w:val="008B0B17"/>
    <w:rsid w:val="008B48DB"/>
    <w:rsid w:val="008B754F"/>
    <w:rsid w:val="008D3D54"/>
    <w:rsid w:val="008D4BE7"/>
    <w:rsid w:val="008E7B7B"/>
    <w:rsid w:val="009364AC"/>
    <w:rsid w:val="00944D66"/>
    <w:rsid w:val="00975853"/>
    <w:rsid w:val="00993F5B"/>
    <w:rsid w:val="009A62BC"/>
    <w:rsid w:val="009B41AB"/>
    <w:rsid w:val="009C0934"/>
    <w:rsid w:val="009E7587"/>
    <w:rsid w:val="009F2B9C"/>
    <w:rsid w:val="009F3CB3"/>
    <w:rsid w:val="00A01E23"/>
    <w:rsid w:val="00A16D8F"/>
    <w:rsid w:val="00A178C3"/>
    <w:rsid w:val="00A20B00"/>
    <w:rsid w:val="00A3677B"/>
    <w:rsid w:val="00A42037"/>
    <w:rsid w:val="00A472CF"/>
    <w:rsid w:val="00A564BA"/>
    <w:rsid w:val="00A666A6"/>
    <w:rsid w:val="00A80623"/>
    <w:rsid w:val="00A93061"/>
    <w:rsid w:val="00AA0718"/>
    <w:rsid w:val="00AB56EF"/>
    <w:rsid w:val="00AC556D"/>
    <w:rsid w:val="00AD49BB"/>
    <w:rsid w:val="00B35893"/>
    <w:rsid w:val="00B51442"/>
    <w:rsid w:val="00B51955"/>
    <w:rsid w:val="00B67D39"/>
    <w:rsid w:val="00B81C78"/>
    <w:rsid w:val="00B96F98"/>
    <w:rsid w:val="00BC35D7"/>
    <w:rsid w:val="00BF330B"/>
    <w:rsid w:val="00C23B25"/>
    <w:rsid w:val="00C31516"/>
    <w:rsid w:val="00C337B5"/>
    <w:rsid w:val="00C456C8"/>
    <w:rsid w:val="00C47BBA"/>
    <w:rsid w:val="00C75B61"/>
    <w:rsid w:val="00C90C4E"/>
    <w:rsid w:val="00CA4082"/>
    <w:rsid w:val="00CC1E1A"/>
    <w:rsid w:val="00CC7957"/>
    <w:rsid w:val="00CD3689"/>
    <w:rsid w:val="00CE51C9"/>
    <w:rsid w:val="00CF54EF"/>
    <w:rsid w:val="00CF5CDC"/>
    <w:rsid w:val="00D03CF4"/>
    <w:rsid w:val="00D15523"/>
    <w:rsid w:val="00D20936"/>
    <w:rsid w:val="00D51BEF"/>
    <w:rsid w:val="00D566D7"/>
    <w:rsid w:val="00D9737D"/>
    <w:rsid w:val="00DA43AF"/>
    <w:rsid w:val="00DC4125"/>
    <w:rsid w:val="00DC4648"/>
    <w:rsid w:val="00DF40B3"/>
    <w:rsid w:val="00E63F6E"/>
    <w:rsid w:val="00E86B99"/>
    <w:rsid w:val="00EA72DC"/>
    <w:rsid w:val="00EC43FB"/>
    <w:rsid w:val="00EC54A3"/>
    <w:rsid w:val="00EC7BA1"/>
    <w:rsid w:val="00EF0A1C"/>
    <w:rsid w:val="00EF2D27"/>
    <w:rsid w:val="00EF4DB7"/>
    <w:rsid w:val="00EF7B37"/>
    <w:rsid w:val="00F02281"/>
    <w:rsid w:val="00F03E31"/>
    <w:rsid w:val="00F140CD"/>
    <w:rsid w:val="00F14ADC"/>
    <w:rsid w:val="00F2158A"/>
    <w:rsid w:val="00F22035"/>
    <w:rsid w:val="00F245BA"/>
    <w:rsid w:val="00F27138"/>
    <w:rsid w:val="00F362B8"/>
    <w:rsid w:val="00F5110B"/>
    <w:rsid w:val="00FA24DA"/>
    <w:rsid w:val="00FA5449"/>
    <w:rsid w:val="00FB36CA"/>
    <w:rsid w:val="00FD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6BB2B3"/>
  <w15:docId w15:val="{17391FA7-2C38-49B7-951E-CA688C98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9E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81C7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basedOn w:val="DefaultParagraphFont"/>
    <w:rsid w:val="002439E0"/>
    <w:rPr>
      <w:color w:val="0000FF"/>
      <w:u w:val="single"/>
    </w:rPr>
  </w:style>
  <w:style w:type="character" w:styleId="FollowedHyperlink">
    <w:name w:val="FollowedHyperlink"/>
    <w:basedOn w:val="DefaultParagraphFont"/>
    <w:rsid w:val="003A4D5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F5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5CD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DC464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C4648"/>
  </w:style>
  <w:style w:type="character" w:styleId="FootnoteReference">
    <w:name w:val="footnote reference"/>
    <w:basedOn w:val="DefaultParagraphFont"/>
    <w:rsid w:val="00DC4648"/>
    <w:rPr>
      <w:vertAlign w:val="superscript"/>
    </w:rPr>
  </w:style>
  <w:style w:type="paragraph" w:styleId="BodyTextIndent">
    <w:name w:val="Body Text Indent"/>
    <w:basedOn w:val="Normal"/>
    <w:link w:val="BodyTextIndentChar"/>
    <w:rsid w:val="00116572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rFonts w:ascii="Albertus Medium" w:hAnsi="Albertus Medium"/>
    </w:rPr>
  </w:style>
  <w:style w:type="character" w:customStyle="1" w:styleId="BodyTextIndentChar">
    <w:name w:val="Body Text Indent Char"/>
    <w:basedOn w:val="DefaultParagraphFont"/>
    <w:link w:val="BodyTextIndent"/>
    <w:rsid w:val="00116572"/>
    <w:rPr>
      <w:rFonts w:ascii="Albertus Medium" w:hAnsi="Albertus Medium"/>
      <w:sz w:val="24"/>
    </w:rPr>
  </w:style>
  <w:style w:type="table" w:styleId="TableGrid">
    <w:name w:val="Table Grid"/>
    <w:basedOn w:val="TableNormal"/>
    <w:rsid w:val="00644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544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5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security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D619D-DA44-4EEB-928A-DCC01386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783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Bernalillo County Income Support</vt:lpstr>
    </vt:vector>
  </TitlesOfParts>
  <Company>Hewlett-Packard Company</Company>
  <LinksUpToDate>false</LinksUpToDate>
  <CharactersWithSpaces>5234</CharactersWithSpaces>
  <SharedDoc>false</SharedDoc>
  <HLinks>
    <vt:vector size="18" baseType="variant">
      <vt:variant>
        <vt:i4>2228267</vt:i4>
      </vt:variant>
      <vt:variant>
        <vt:i4>6</vt:i4>
      </vt:variant>
      <vt:variant>
        <vt:i4>0</vt:i4>
      </vt:variant>
      <vt:variant>
        <vt:i4>5</vt:i4>
      </vt:variant>
      <vt:variant>
        <vt:lpwstr>http://www.socialsecurity.gov/</vt:lpwstr>
      </vt:variant>
      <vt:variant>
        <vt:lpwstr/>
      </vt:variant>
      <vt:variant>
        <vt:i4>1441871</vt:i4>
      </vt:variant>
      <vt:variant>
        <vt:i4>0</vt:i4>
      </vt:variant>
      <vt:variant>
        <vt:i4>0</vt:i4>
      </vt:variant>
      <vt:variant>
        <vt:i4>5</vt:i4>
      </vt:variant>
      <vt:variant>
        <vt:lpwstr>http://www.piperreport.com/archives/Images/Cost of Drugs on Fifty Dollar Bill.jpg</vt:lpwstr>
      </vt:variant>
      <vt:variant>
        <vt:lpwstr/>
      </vt:variant>
      <vt:variant>
        <vt:i4>7995431</vt:i4>
      </vt:variant>
      <vt:variant>
        <vt:i4>3154</vt:i4>
      </vt:variant>
      <vt:variant>
        <vt:i4>1025</vt:i4>
      </vt:variant>
      <vt:variant>
        <vt:i4>1</vt:i4>
      </vt:variant>
      <vt:variant>
        <vt:lpwstr>http://www.keycentrix.com/images/moneybottle%20(Custom).jpg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Bernalillo County Income Support</dc:title>
  <dc:creator>Lucrecia</dc:creator>
  <cp:lastModifiedBy>Michael Parks</cp:lastModifiedBy>
  <cp:revision>8</cp:revision>
  <cp:lastPrinted>2018-03-13T15:27:00Z</cp:lastPrinted>
  <dcterms:created xsi:type="dcterms:W3CDTF">2018-03-13T15:09:00Z</dcterms:created>
  <dcterms:modified xsi:type="dcterms:W3CDTF">2018-03-13T15:38:00Z</dcterms:modified>
</cp:coreProperties>
</file>